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88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ПРОТОКОЛ </w:t>
      </w:r>
      <w:r>
        <w:rPr>
          <w:b w:val="0"/>
          <w:sz w:val="24"/>
          <w:szCs w:val="24"/>
        </w:rPr>
        <w:t xml:space="preserve">№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251116</w:t>
      </w:r>
      <w:r>
        <w:rPr>
          <w:b w:val="0"/>
          <w:sz w:val="24"/>
          <w:szCs w:val="24"/>
        </w:rPr>
        <w:t xml:space="preserve">-</w:t>
      </w:r>
      <w:r>
        <w:rPr>
          <w:b w:val="0"/>
          <w:sz w:val="24"/>
          <w:szCs w:val="24"/>
        </w:rPr>
        <w:t xml:space="preserve">3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9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очного </w:t>
      </w:r>
      <w:r>
        <w:rPr>
          <w:sz w:val="24"/>
          <w:szCs w:val="24"/>
        </w:rPr>
        <w:t xml:space="preserve">заседания </w:t>
      </w:r>
      <w:r>
        <w:rPr>
          <w:sz w:val="24"/>
          <w:szCs w:val="24"/>
        </w:rPr>
        <w:t xml:space="preserve">Закупочн</w:t>
      </w:r>
      <w:r>
        <w:rPr>
          <w:sz w:val="24"/>
          <w:szCs w:val="24"/>
        </w:rPr>
        <w:t xml:space="preserve">ой</w:t>
      </w:r>
      <w:r>
        <w:rPr>
          <w:sz w:val="24"/>
          <w:szCs w:val="24"/>
        </w:rPr>
        <w:t xml:space="preserve"> комиссии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 рассмотрению, </w:t>
      </w:r>
      <w:r>
        <w:rPr>
          <w:sz w:val="24"/>
          <w:szCs w:val="24"/>
        </w:rPr>
        <w:t xml:space="preserve">оценке поступивших заявок участников </w:t>
      </w:r>
      <w:r>
        <w:rPr>
          <w:sz w:val="24"/>
          <w:szCs w:val="24"/>
        </w:rPr>
        <w:t xml:space="preserve">и подведению итогов </w:t>
      </w:r>
      <w:r>
        <w:rPr>
          <w:sz w:val="24"/>
          <w:szCs w:val="24"/>
        </w:rPr>
        <w:t xml:space="preserve">по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предварительному отбору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электронной форме </w:t>
      </w:r>
      <w:r>
        <w:rPr>
          <w:sz w:val="24"/>
          <w:szCs w:val="24"/>
        </w:rPr>
        <w:t xml:space="preserve">на электронной торговой площадке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"https://tender.lot-online.ru/" </w:instrText>
      </w:r>
      <w:r>
        <w:rPr>
          <w:sz w:val="24"/>
          <w:szCs w:val="24"/>
        </w:rPr>
        <w:fldChar w:fldCharType="separate"/>
      </w:r>
      <w:r>
        <w:rPr>
          <w:rStyle w:val="993"/>
          <w:sz w:val="24"/>
          <w:szCs w:val="24"/>
        </w:rPr>
        <w:t xml:space="preserve">https://tender.lot-online.ru/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, участниками которого являются только субъекты МСП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0"/>
        <w:ind w:left="0" w:right="168" w:firstLine="0"/>
        <w:jc w:val="center"/>
        <w:spacing w:line="240" w:lineRule="auto"/>
        <w:tabs>
          <w:tab w:val="clear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598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51"/>
        <w:gridCol w:w="2976"/>
        <w:gridCol w:w="5671"/>
      </w:tblGrid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84"/>
              <w:ind w:right="168"/>
              <w:jc w:val="both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Санкт-Петербург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71" w:type="dxa"/>
            <w:vAlign w:val="center"/>
            <w:textDirection w:val="lrTb"/>
            <w:noWrap w:val="false"/>
          </w:tcPr>
          <w:p>
            <w:pPr>
              <w:pStyle w:val="984"/>
              <w:jc w:val="right"/>
              <w:spacing w:line="240" w:lineRule="atLeas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Дата составле</w:t>
            </w:r>
            <w:r>
              <w:rPr>
                <w:sz w:val="24"/>
                <w:szCs w:val="24"/>
                <w:highlight w:val="white"/>
              </w:rPr>
              <w:t xml:space="preserve">ния протокола: 16.04.2025</w:t>
            </w:r>
            <w:r>
              <w:rPr>
                <w:sz w:val="24"/>
                <w:szCs w:val="24"/>
                <w:highlight w:val="white"/>
              </w:rPr>
              <w:t xml:space="preserve"> г.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84"/>
              <w:jc w:val="right"/>
              <w:spacing w:line="240" w:lineRule="atLeas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Дата подписания протокола: 1</w:t>
            </w:r>
            <w:r>
              <w:rPr>
                <w:sz w:val="24"/>
                <w:szCs w:val="24"/>
                <w:highlight w:val="white"/>
              </w:rPr>
              <w:t xml:space="preserve">6.04.2025 </w:t>
            </w:r>
            <w:r>
              <w:rPr>
                <w:sz w:val="24"/>
                <w:szCs w:val="24"/>
                <w:highlight w:val="white"/>
              </w:rPr>
              <w:t xml:space="preserve">г.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7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7" w:type="dxa"/>
            <w:vAlign w:val="top"/>
            <w:textDirection w:val="lrTb"/>
            <w:noWrap w:val="false"/>
          </w:tcPr>
          <w:p>
            <w:pPr>
              <w:pStyle w:val="984"/>
              <w:ind w:right="168"/>
              <w:jc w:val="both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71" w:type="dxa"/>
            <w:vAlign w:val="top"/>
            <w:textDirection w:val="lrTb"/>
            <w:noWrap w:val="false"/>
          </w:tcPr>
          <w:p>
            <w:pPr>
              <w:pStyle w:val="984"/>
              <w:ind w:right="168"/>
              <w:jc w:val="both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931"/>
        </w:trPr>
        <w:tc>
          <w:tcPr>
            <w:tcBorders>
              <w:bottom w:val="single" w:color="000000" w:sz="4" w:space="0"/>
            </w:tcBorders>
            <w:tcW w:w="1951" w:type="dxa"/>
            <w:vAlign w:val="center"/>
            <w:textDirection w:val="lrTb"/>
            <w:noWrap w:val="false"/>
          </w:tcPr>
          <w:p>
            <w:pPr>
              <w:pStyle w:val="986"/>
              <w:ind w:right="3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Предмет предварительного отбора в электронной форме: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8647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</w:t>
            </w:r>
            <w:r>
              <w:rPr>
                <w:sz w:val="24"/>
                <w:szCs w:val="24"/>
              </w:rPr>
              <w:t xml:space="preserve"> право заключения </w:t>
            </w:r>
            <w:r>
              <w:rPr>
                <w:sz w:val="24"/>
                <w:szCs w:val="24"/>
              </w:rPr>
              <w:t xml:space="preserve"> рамочных соглашений на выполнение проектно-изыскательских работ, 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 в целях технологического присоеди</w:t>
            </w:r>
            <w:r>
              <w:rPr>
                <w:sz w:val="24"/>
                <w:szCs w:val="24"/>
              </w:rPr>
              <w:t xml:space="preserve">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производства работ третьих лиц,  а так </w:t>
            </w:r>
            <w:r>
              <w:rPr>
                <w:sz w:val="24"/>
                <w:szCs w:val="24"/>
              </w:rPr>
              <w:t xml:space="preserve">же выполнения мероприятий на электросетевых объектах в целях реализации дополнительных услуг  по филиалу ПАО «Россети Ленэнерго» «Кабельная сеть», Юго-Западный РЭС, Южный РЭС, Невский РЭС - общим объемом работ не более 6 015 575 140,00 руб. с НДС (251116)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84"/>
        <w:ind w:right="16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sz w:val="24"/>
          <w:szCs w:val="24"/>
        </w:rPr>
        <w:t xml:space="preserve">Рассмотрение, оценка поступивших заявок участников и подведение итогов по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редварительному отбору в электронной форме на электронной торговой площадке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"https://tender.lot-online.ru/" </w:instrText>
      </w:r>
      <w:r>
        <w:rPr>
          <w:sz w:val="24"/>
          <w:szCs w:val="24"/>
        </w:rPr>
        <w:fldChar w:fldCharType="separate"/>
      </w:r>
      <w:r>
        <w:rPr>
          <w:rStyle w:val="993"/>
          <w:sz w:val="24"/>
          <w:szCs w:val="24"/>
        </w:rPr>
        <w:t xml:space="preserve">https://tender.lot-online.ru/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лоту: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право заключения </w:t>
      </w:r>
      <w:r>
        <w:rPr>
          <w:sz w:val="24"/>
          <w:szCs w:val="24"/>
        </w:rPr>
        <w:t xml:space="preserve"> рамочных соглашений на выполнение проектно-изыскательских работ, 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 в целях технологического присоеди</w:t>
      </w:r>
      <w:r>
        <w:rPr>
          <w:sz w:val="24"/>
          <w:szCs w:val="24"/>
        </w:rPr>
        <w:t xml:space="preserve">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производства работ третьих лиц,  а так </w:t>
      </w:r>
      <w:r>
        <w:rPr>
          <w:sz w:val="24"/>
          <w:szCs w:val="24"/>
        </w:rPr>
        <w:t xml:space="preserve">же выполнения мероприятий на электросетевых объектах в целях реализации дополнительных услуг  по филиалу ПАО «Россети Ленэнерго» «Кабельная сеть», Юго-Западный РЭС, Южный РЭС, Невский РЭС - общим объемом работ не более 6 015 575 140,00 руб. с НДС (251116)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right="168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right="16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Дата заседания комиссии: </w:t>
      </w:r>
      <w:r>
        <w:rPr>
          <w:sz w:val="24"/>
          <w:szCs w:val="24"/>
          <w:highlight w:val="none"/>
        </w:rPr>
        <w:t xml:space="preserve">16.04.2025</w:t>
      </w:r>
      <w:r>
        <w:rPr>
          <w:sz w:val="24"/>
          <w:szCs w:val="24"/>
        </w:rPr>
        <w:t xml:space="preserve">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right="16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Кворум имеется. Комиссия правомочна.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left="900" w:right="16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2"/>
        </w:numPr>
        <w:ind w:right="1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Общая информация о закупке: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left="1260"/>
        <w:jc w:val="both"/>
        <w:rPr>
          <w:strike/>
          <w:sz w:val="24"/>
          <w:szCs w:val="24"/>
        </w:rPr>
      </w:pP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pStyle w:val="984"/>
        <w:numPr>
          <w:ilvl w:val="0"/>
          <w:numId w:val="3"/>
        </w:numPr>
        <w:ind w:left="0" w:right="1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Основание проведения закупочной процедуры: </w:t>
      </w:r>
      <w:r>
        <w:rPr>
          <w:sz w:val="24"/>
          <w:szCs w:val="24"/>
        </w:rPr>
        <w:t xml:space="preserve">В соответствии с приказом ПАО «Россети Ленэнерго» от 26.12.2024 № 835 «Об утверждении Плана</w:t>
      </w:r>
      <w:r>
        <w:rPr>
          <w:sz w:val="24"/>
          <w:szCs w:val="24"/>
        </w:rPr>
        <w:t xml:space="preserve"> закупки товаров, работ, услуг ПАО «Россети Ленэнерго» на 2025 год», Единым Стандартом закупок ПАО «Россети» (Положение о закупке), решение о присоединении, к которому принято Советом директоров ПАО «Россети Ленэнерго» 01.02.2023 (протокол от 02.02.2023 № </w:t>
      </w:r>
      <w:r>
        <w:rPr>
          <w:bCs/>
          <w:sz w:val="24"/>
          <w:szCs w:val="24"/>
        </w:rPr>
        <w:t xml:space="preserve">44)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709" w:right="1" w:firstLine="0"/>
        <w:jc w:val="both"/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3"/>
        </w:numPr>
        <w:ind w:left="0" w:right="1" w:firstLine="709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Извещение от 21.02.2025 о проведении предварительного отбора в электронной форме, документация о закупке опубликованы 26.02.2025 на официальном сайте (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HYPERLINK "http://www.zakupki.gov.ru"</w:instrText>
      </w:r>
      <w:r>
        <w:rPr>
          <w:sz w:val="24"/>
          <w:szCs w:val="24"/>
        </w:rPr>
        <w:fldChar w:fldCharType="separate"/>
      </w:r>
      <w:r>
        <w:rPr>
          <w:rStyle w:val="993"/>
          <w:color w:val="000000"/>
          <w:sz w:val="24"/>
          <w:szCs w:val="24"/>
        </w:rPr>
        <w:t xml:space="preserve">www.zakupki.</w:t>
      </w:r>
      <w:r>
        <w:rPr>
          <w:rStyle w:val="993"/>
          <w:color w:val="000000"/>
          <w:sz w:val="24"/>
          <w:szCs w:val="24"/>
          <w:lang w:val="en-US"/>
        </w:rPr>
        <w:t xml:space="preserve">gov</w:t>
      </w:r>
      <w:r>
        <w:rPr>
          <w:rStyle w:val="993"/>
          <w:color w:val="000000"/>
          <w:sz w:val="24"/>
          <w:szCs w:val="24"/>
        </w:rPr>
        <w:t xml:space="preserve">.ru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),</w:t>
      </w:r>
      <w:r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сайте ЭТП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"https://tender.lot-online.ru/" </w:instrText>
      </w:r>
      <w:r>
        <w:rPr>
          <w:sz w:val="24"/>
          <w:szCs w:val="24"/>
        </w:rPr>
        <w:fldChar w:fldCharType="separate"/>
      </w:r>
      <w:r>
        <w:rPr>
          <w:rStyle w:val="993"/>
          <w:color w:val="000000"/>
          <w:sz w:val="24"/>
          <w:szCs w:val="24"/>
        </w:rPr>
        <w:t xml:space="preserve">https://tender.lot-online.ru/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3"/>
        </w:numPr>
        <w:ind w:left="0" w:right="1" w:firstLine="709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Согласно процедуре электронных торгов на электронной торговой площадке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"https://tender.lot-online.ru/" </w:instrText>
      </w:r>
      <w:r>
        <w:rPr>
          <w:sz w:val="24"/>
          <w:szCs w:val="24"/>
        </w:rPr>
        <w:fldChar w:fldCharType="separate"/>
      </w:r>
      <w:r>
        <w:rPr>
          <w:rStyle w:val="993"/>
          <w:color w:val="000000"/>
          <w:sz w:val="24"/>
          <w:szCs w:val="24"/>
        </w:rPr>
        <w:t xml:space="preserve">https://tender.lot-online.ru/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от 26.02.2025 объявление № </w:t>
      </w:r>
      <w:r>
        <w:rPr>
          <w:color w:val="000000"/>
          <w:sz w:val="24"/>
          <w:szCs w:val="24"/>
          <w:shd w:val="clear" w:color="auto" w:fill="ffffff"/>
        </w:rPr>
        <w:t xml:space="preserve">LENER25094DP</w:t>
      </w:r>
      <w:r>
        <w:rPr>
          <w:sz w:val="24"/>
          <w:szCs w:val="24"/>
        </w:rPr>
        <w:t xml:space="preserve">(номер извещения на сайте </w:t>
      </w:r>
      <w:r>
        <w:rPr>
          <w:sz w:val="24"/>
          <w:szCs w:val="24"/>
          <w:lang w:val="en-US"/>
        </w:rPr>
        <w:fldChar w:fldCharType="begin"/>
      </w:r>
      <w:r>
        <w:rPr>
          <w:sz w:val="24"/>
          <w:szCs w:val="24"/>
        </w:rPr>
        <w:instrText xml:space="preserve"> </w:instrText>
      </w:r>
      <w:r>
        <w:rPr>
          <w:sz w:val="24"/>
          <w:szCs w:val="24"/>
          <w:lang w:val="en-US"/>
        </w:rPr>
        <w:instrText xml:space="preserve">HYPERLINK</w:instrText>
      </w:r>
      <w:r>
        <w:rPr>
          <w:sz w:val="24"/>
          <w:szCs w:val="24"/>
        </w:rPr>
        <w:instrText xml:space="preserve"> "</w:instrText>
      </w:r>
      <w:r>
        <w:rPr>
          <w:sz w:val="24"/>
          <w:szCs w:val="24"/>
          <w:lang w:val="en-US"/>
        </w:rPr>
        <w:instrText xml:space="preserve">http</w:instrText>
      </w:r>
      <w:r>
        <w:rPr>
          <w:sz w:val="24"/>
          <w:szCs w:val="24"/>
        </w:rPr>
        <w:instrText xml:space="preserve">://</w:instrText>
      </w:r>
      <w:r>
        <w:rPr>
          <w:sz w:val="24"/>
          <w:szCs w:val="24"/>
          <w:lang w:val="en-US"/>
        </w:rPr>
        <w:instrText xml:space="preserve">www</w:instrText>
      </w:r>
      <w:r>
        <w:rPr>
          <w:sz w:val="24"/>
          <w:szCs w:val="24"/>
        </w:rPr>
        <w:instrText xml:space="preserve">.</w:instrText>
      </w:r>
      <w:r>
        <w:rPr>
          <w:sz w:val="24"/>
          <w:szCs w:val="24"/>
          <w:lang w:val="en-US"/>
        </w:rPr>
        <w:instrText xml:space="preserve">zakupki</w:instrText>
      </w:r>
      <w:r>
        <w:rPr>
          <w:sz w:val="24"/>
          <w:szCs w:val="24"/>
        </w:rPr>
        <w:instrText xml:space="preserve">.</w:instrText>
      </w:r>
      <w:r>
        <w:rPr>
          <w:sz w:val="24"/>
          <w:szCs w:val="24"/>
          <w:lang w:val="en-US"/>
        </w:rPr>
        <w:instrText xml:space="preserve">gov</w:instrText>
      </w:r>
      <w:r>
        <w:rPr>
          <w:sz w:val="24"/>
          <w:szCs w:val="24"/>
        </w:rPr>
        <w:instrText xml:space="preserve">.</w:instrText>
      </w:r>
      <w:r>
        <w:rPr>
          <w:sz w:val="24"/>
          <w:szCs w:val="24"/>
          <w:lang w:val="en-US"/>
        </w:rPr>
        <w:instrText xml:space="preserve">ru</w:instrText>
      </w:r>
      <w:r>
        <w:rPr>
          <w:sz w:val="24"/>
          <w:szCs w:val="24"/>
        </w:rPr>
        <w:instrText xml:space="preserve">/223" </w:instrText>
      </w:r>
      <w:r>
        <w:rPr>
          <w:sz w:val="24"/>
          <w:szCs w:val="24"/>
          <w:lang w:val="en-US"/>
        </w:rPr>
        <w:fldChar w:fldCharType="separate"/>
      </w:r>
      <w:r>
        <w:rPr>
          <w:rStyle w:val="993"/>
          <w:color w:val="000000"/>
          <w:sz w:val="24"/>
          <w:szCs w:val="24"/>
          <w:lang w:val="en-US"/>
        </w:rPr>
        <w:t xml:space="preserve">www</w:t>
      </w:r>
      <w:r>
        <w:rPr>
          <w:rStyle w:val="993"/>
          <w:color w:val="000000"/>
          <w:sz w:val="24"/>
          <w:szCs w:val="24"/>
        </w:rPr>
        <w:t xml:space="preserve">.</w:t>
      </w:r>
      <w:r>
        <w:rPr>
          <w:rStyle w:val="993"/>
          <w:color w:val="000000"/>
          <w:sz w:val="24"/>
          <w:szCs w:val="24"/>
          <w:lang w:val="en-US"/>
        </w:rPr>
        <w:t xml:space="preserve">zakupki</w:t>
      </w:r>
      <w:r>
        <w:rPr>
          <w:rStyle w:val="993"/>
          <w:color w:val="000000"/>
          <w:sz w:val="24"/>
          <w:szCs w:val="24"/>
        </w:rPr>
        <w:t xml:space="preserve">.</w:t>
      </w:r>
      <w:r>
        <w:rPr>
          <w:rStyle w:val="993"/>
          <w:color w:val="000000"/>
          <w:sz w:val="24"/>
          <w:szCs w:val="24"/>
          <w:lang w:val="en-US"/>
        </w:rPr>
        <w:t xml:space="preserve">gov</w:t>
      </w:r>
      <w:r>
        <w:rPr>
          <w:rStyle w:val="993"/>
          <w:color w:val="000000"/>
          <w:sz w:val="24"/>
          <w:szCs w:val="24"/>
        </w:rPr>
        <w:t xml:space="preserve">.</w:t>
      </w:r>
      <w:r>
        <w:rPr>
          <w:rStyle w:val="993"/>
          <w:color w:val="000000"/>
          <w:sz w:val="24"/>
          <w:szCs w:val="24"/>
          <w:lang w:val="en-US"/>
        </w:rPr>
        <w:t xml:space="preserve">ru</w:t>
      </w:r>
      <w:r>
        <w:rPr>
          <w:sz w:val="24"/>
          <w:szCs w:val="24"/>
          <w:lang w:val="en-US"/>
        </w:rPr>
        <w:fldChar w:fldCharType="end"/>
      </w:r>
      <w:r>
        <w:rPr>
          <w:sz w:val="24"/>
          <w:szCs w:val="24"/>
        </w:rPr>
        <w:t xml:space="preserve"> № </w:t>
      </w:r>
      <w:r>
        <w:rPr>
          <w:rFonts w:ascii="Arial" w:hAnsi="Arial" w:eastAsia="Arial" w:cs="Arial"/>
          <w:color w:val="000000"/>
          <w:sz w:val="24"/>
          <w:szCs w:val="24"/>
          <w:highlight w:val="white"/>
        </w:rPr>
        <w:t xml:space="preserve">32514558487</w:t>
      </w:r>
      <w:r>
        <w:rPr>
          <w:sz w:val="24"/>
          <w:szCs w:val="24"/>
        </w:rPr>
        <w:t xml:space="preserve">) в качестве участников данного предварительного отбора зарегистрировались следующие участники: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left="709" w:right="1"/>
        <w:jc w:val="both"/>
        <w:tabs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179" w:type="dxa"/>
        <w:jc w:val="center"/>
        <w:tblInd w:w="0" w:type="dxa"/>
        <w:tblLayout w:type="fixed"/>
        <w:tblCellMar>
          <w:left w:w="100" w:type="dxa"/>
          <w:top w:w="0" w:type="dxa"/>
          <w:right w:w="100" w:type="dxa"/>
          <w:bottom w:w="0" w:type="dxa"/>
        </w:tblCellMar>
        <w:tblLook w:val="04A0" w:firstRow="1" w:lastRow="0" w:firstColumn="1" w:lastColumn="0" w:noHBand="0" w:noVBand="1"/>
      </w:tblPr>
      <w:tblGrid>
        <w:gridCol w:w="805"/>
        <w:gridCol w:w="2709"/>
        <w:gridCol w:w="6665"/>
      </w:tblGrid>
      <w:tr>
        <w:tblPrEx/>
        <w:trPr>
          <w:cantSplit/>
          <w:trHeight w:val="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142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 w:clear="all"/>
            </w:r>
            <w:r>
              <w:rPr>
                <w:bCs/>
                <w:sz w:val="24"/>
                <w:szCs w:val="24"/>
              </w:rPr>
              <w:t xml:space="preserve">Номер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pStyle w:val="984"/>
              <w:ind w:left="142" w:right="14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Дата и время регистрации заявки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pStyle w:val="984"/>
              <w:ind w:left="142" w:right="142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Участник предварительного отбора в электронной форме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4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22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18.03.2025 11:29:55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pStyle w:val="984"/>
              <w:ind w:left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ООО «ЭНЕРГОСТРОЙИНВЕСТ»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22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24.03.2025 15:28:50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ООО «ПКБ «РЭМ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» (лидер), ООО «ОВК ЭЛЕКТРО»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22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27.03.2025 13:28:45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АО «МИН» 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ЗАО «ПетроЭлектроКомплекс»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«СтройЭнергоИмпорт»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«УНР 171 Монтаж»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ООО «АТЛАНТ»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22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28.03.2025 10:01:22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ООО ЭЦ «СП» (лидер),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«Парламент»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22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28.03.2025 15:48:40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ООО «СпецЭнергоСервис» (лидер), ООО «СЭС» (участник), ООО «ЗапСтройТранс» (участник), ООО «ПетоЭнергоКомплект»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22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28.03.2025 15:53:28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«СпецСтрой-Инжиниринг»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22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31.03.2025 04:57:12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 ООО «ГенЭК»(лидер),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«ТРАНСОЙЛ»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4" w:type="dxa"/>
            <w:vAlign w:val="center"/>
            <w:textDirection w:val="lrTb"/>
            <w:noWrap w:val="false"/>
          </w:tcPr>
          <w:p>
            <w:pPr>
              <w:pStyle w:val="984"/>
              <w:ind w:right="222"/>
              <w:jc w:val="center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08" w:type="dxa"/>
            <w:vAlign w:val="center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31.03.2025 09:18:26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62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Коллективный участник в составе: ООО «Первое профессиональное сообщество» (лидер),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«ПетроСтрой Ритм»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984"/>
        <w:ind w:right="168"/>
        <w:jc w:val="both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pStyle w:val="984"/>
        <w:numPr>
          <w:ilvl w:val="0"/>
          <w:numId w:val="3"/>
        </w:numPr>
        <w:ind w:left="0" w:right="168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 (рамочного соглашения) (цена закупки) - Ценовой лимит рамочного соглашения</w:t>
      </w:r>
      <w:r>
        <w:rPr>
          <w:rFonts w:eastAsia="Calibri"/>
          <w:sz w:val="24"/>
          <w:szCs w:val="24"/>
        </w:rPr>
        <w:t xml:space="preserve">, руб. с НДС/без НДС</w:t>
      </w:r>
      <w:r>
        <w:rPr>
          <w:sz w:val="24"/>
          <w:szCs w:val="24"/>
        </w:rPr>
        <w:t xml:space="preserve">, Срок действия рамочного соглашения (срок выполнения работ):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left="709" w:right="16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96" w:type="pct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6936"/>
        <w:gridCol w:w="35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02"/>
        </w:trPr>
        <w:tc>
          <w:tcPr>
            <w:tcW w:w="3309" w:type="pct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 w:clear="all"/>
              <w:t xml:space="preserve">Начальная (максимальная) цена договора (рамочного соглашения) (цена закупки) - Ценовой лимит рамочного соглашения</w:t>
            </w:r>
            <w:r>
              <w:rPr>
                <w:rFonts w:eastAsia="Calibri"/>
                <w:sz w:val="24"/>
                <w:szCs w:val="24"/>
              </w:rPr>
              <w:t xml:space="preserve">, руб. с НДС/без НДС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1691" w:type="pct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действия рамочного соглашения (срок выполнения работ)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64"/>
        </w:trPr>
        <w:tc>
          <w:tcPr>
            <w:tcW w:w="3309" w:type="pct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Общим объемом выполнения работ не более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6 015 575 140,00</w:t>
            </w:r>
            <w:r>
              <w:rPr>
                <w:sz w:val="24"/>
                <w:szCs w:val="24"/>
              </w:rPr>
              <w:t xml:space="preserve"> руб.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9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28</w:t>
            </w:r>
            <w:r>
              <w:rPr>
                <w:sz w:val="24"/>
                <w:szCs w:val="24"/>
                <w:highlight w:val="white"/>
              </w:rPr>
              <w:t xml:space="preserve">.04.2025</w:t>
            </w:r>
            <w:r>
              <w:rPr>
                <w:sz w:val="24"/>
                <w:szCs w:val="24"/>
                <w:highlight w:val="white"/>
              </w:rPr>
              <w:t xml:space="preserve"> - </w:t>
            </w:r>
            <w:r>
              <w:rPr>
                <w:sz w:val="24"/>
                <w:szCs w:val="24"/>
                <w:highlight w:val="white"/>
              </w:rPr>
              <w:t xml:space="preserve">30.12.2026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pStyle w:val="984"/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right="168"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2"/>
        </w:numPr>
        <w:ind w:right="1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Закупоч</w:t>
      </w:r>
      <w:r>
        <w:rPr>
          <w:sz w:val="24"/>
          <w:szCs w:val="24"/>
        </w:rPr>
        <w:t xml:space="preserve">ная</w:t>
      </w:r>
      <w:r>
        <w:rPr>
          <w:sz w:val="24"/>
          <w:szCs w:val="24"/>
        </w:rPr>
        <w:t xml:space="preserve"> комиссия рассмотрела и определила: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Сведения общего характера Участников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предварительного отбора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электронной форме </w:t>
      </w:r>
      <w:r>
        <w:rPr>
          <w:sz w:val="24"/>
          <w:szCs w:val="24"/>
        </w:rPr>
        <w:t xml:space="preserve">на электронной торговой площадке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"https://tender.lot-online.ru/" </w:instrText>
      </w:r>
      <w:r>
        <w:rPr>
          <w:sz w:val="24"/>
          <w:szCs w:val="24"/>
        </w:rPr>
        <w:fldChar w:fldCharType="separate"/>
      </w:r>
      <w:r>
        <w:rPr>
          <w:rStyle w:val="993"/>
          <w:sz w:val="24"/>
          <w:szCs w:val="24"/>
        </w:rPr>
        <w:t xml:space="preserve">https://tender.lot-online.ru/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анализу </w:t>
      </w:r>
      <w:r>
        <w:rPr>
          <w:sz w:val="24"/>
          <w:szCs w:val="24"/>
        </w:rPr>
        <w:t xml:space="preserve">поступивших </w:t>
      </w:r>
      <w:r>
        <w:rPr>
          <w:sz w:val="24"/>
          <w:szCs w:val="24"/>
        </w:rPr>
        <w:t xml:space="preserve">заявок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4"/>
        </w:numPr>
        <w:ind w:left="0" w:firstLine="567"/>
        <w:jc w:val="both"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 выполнения работ (срок действия рамочного соглашения):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491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93"/>
        <w:gridCol w:w="3969"/>
        <w:gridCol w:w="1701"/>
        <w:gridCol w:w="212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762"/>
          <w:tblHeader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Номер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pStyle w:val="9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предварительного отбора в электронной форме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выполнения работ (срок действия рамочного соглашения) в соответствии с документацией о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pStyle w:val="9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выполнения работ (срок действия рамочного соглашения), предложенный участником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Вывод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98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pStyle w:val="984"/>
              <w:ind w:left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ООО «ЭНЕРГОСТРОЙИНВЕСТ»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28</w:t>
            </w:r>
            <w:r>
              <w:rPr>
                <w:sz w:val="24"/>
                <w:szCs w:val="24"/>
                <w:highlight w:val="white"/>
              </w:rPr>
              <w:t xml:space="preserve">.04.2025</w:t>
            </w:r>
            <w:r>
              <w:rPr>
                <w:sz w:val="24"/>
                <w:szCs w:val="24"/>
                <w:highlight w:val="white"/>
              </w:rPr>
              <w:t xml:space="preserve"> - </w:t>
            </w:r>
            <w:r>
              <w:rPr>
                <w:sz w:val="24"/>
                <w:szCs w:val="24"/>
                <w:highlight w:val="white"/>
              </w:rPr>
              <w:t xml:space="preserve">30.12.2026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28.04.2025-30.12.2026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3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ООО «ПКБ «РЭМ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» (лидер),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ООО «ОВК ЭЛЕКТРО»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28.04.2025-30.12.2026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88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4" w:space="0"/>
              <w:right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АО «МИН» 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ЗАО «ПетроЭлектроКомплекс»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«СтройЭнергоИмпорт»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«УНР 171 Монтаж»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ООО «АТЛАНТ»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28.04.2025-30.12.2026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8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88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ООО ЭЦ «СП» (лидер),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«Парламент»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28.04.2025-30.12.2026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84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88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ООО «СпецЭнергоСервис» (лидер), ООО «СЭС» (участник), ООО «ЗапСтройТранс» (участник), ООО «ПетоЭнергоКомплект»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28.04.2025-30.12.2026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88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«СпецСтрой-Инжиниринг»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21.04.2025-30.12.2026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88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 ООО «ГенЭК»(лидер),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«ТРАНСОЙЛ»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28.04.2025-30.12.2026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88"/>
        </w:trPr>
        <w:tc>
          <w:tcPr>
            <w:tcW w:w="993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FFFFFF" w:sz="255" w:space="0"/>
              <w:bottom w:val="single" w:color="000000" w:sz="4" w:space="0"/>
            </w:tcBorders>
            <w:tcW w:w="3969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Коллективный участник в составе: ООО «Первое профессиональное сообщество» (лидер),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«ПетроСтрой Ритм»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28.04.2025-30.12.2026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pStyle w:val="984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4"/>
        </w:numPr>
        <w:ind w:left="0" w:firstLine="567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Сведения о минимальной правоспособности, квалификации и финансовой устойчивости Участника</w:t>
      </w:r>
      <w:r>
        <w:rPr>
          <w:sz w:val="24"/>
          <w:szCs w:val="24"/>
        </w:rPr>
        <w:t xml:space="preserve">, полноты и качества оформления заявки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jc w:val="both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48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7513"/>
        <w:gridCol w:w="18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7"/>
          <w:tblHeader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Номер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pStyle w:val="989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Участник предварительного отбора в электронной форме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Вывод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7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pStyle w:val="984"/>
              <w:ind w:left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ООО «ЭНЕРГОСТРОЙИНВЕСТ»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13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ООО «ПКБ «РЭМ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» (лидер),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ООО «ОВК ЭЛЕКТРО»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722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АО «МИН» 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ЗАО «ПетроЭлектроКомплекс»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«СтройЭнергоИмпорт»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«УНР 171 Монтаж»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ООО «АТЛАНТ»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0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ООО ЭЦ «СП» (лидер),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«Парламент»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24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ООО «СпецЭнергоСервис» (лидер),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«СЭС» (участник), ООО «ЗапСтройТранс» (участник),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«ПетоЭнергоКомплект» (участник)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0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«СпецСтрой-Инжиниринг»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29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 ООО «ГенЭК»(лидер),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«ТРАНСОЙЛ»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24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Коллективный участник в составе: ООО «Первое профессиональное сообщество» (лидер),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«ПетроСтрой Ритм»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84"/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4"/>
        </w:numPr>
        <w:ind w:left="0" w:firstLine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Сведения о соответствии технической части заявки требованиям документации о закупке на основании выводов экспертов по анализу технической части заявки Участника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48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7513"/>
        <w:gridCol w:w="184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37"/>
          <w:tblHeader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Номер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pStyle w:val="989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Участник предварительного отбора в электронной форме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Вывод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37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pStyle w:val="984"/>
              <w:ind w:left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ООО «ЭНЕРГОСТРОЙИНВЕСТ»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46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ООО «ПКБ «РЭМ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» (лидер),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ООО «ОВК ЭЛЕКТРО»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1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АО «МИН» 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ЗАО «ПетроЭлектроКомплекс»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«СтройЭнергоИмпорт»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«УНР 171 Монтаж»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ООО «АТЛАНТ»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05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ООО ЭЦ «СП» (лидер),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«Парламент»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24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ООО «СпецЭнергоСервис» (лидер),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«СЭС» (участник), ООО «ЗапСтройТранс» (участник),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«ПетоЭнергоКомплект»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0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«СпецСтрой-Инжиниринг»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81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 ООО «ГенЭК»(лидер),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«ТРАНСОЙЛ»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24"/>
        </w:trPr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997"/>
              <w:ind w:left="34" w:right="0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3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Коллективный участник в составе: ООО «Первое профессиональное сообщество» (лидер),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«ПетроСтрой Ритм»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Соответствует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984"/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4"/>
        </w:numPr>
        <w:ind w:left="0" w:firstLine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результатам оценки заявок Закупочная комиссия </w:t>
      </w:r>
      <w:r>
        <w:rPr>
          <w:sz w:val="24"/>
          <w:szCs w:val="24"/>
        </w:rPr>
        <w:t xml:space="preserve">рассмотрела и определила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ind w:left="567"/>
        <w:jc w:val="both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59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67"/>
        <w:gridCol w:w="3827"/>
        <w:gridCol w:w="2602"/>
        <w:gridCol w:w="1701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561"/>
          <w:tblHeader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Номер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 предварительного отбора в электронной форме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 правоспособности, квалификации и финансовой устойчивости Участника, полноты и качества оформления заявки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технической части заявок Участников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Вывод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555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pStyle w:val="984"/>
              <w:ind w:left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ООО «ЭНЕРГОСТРОЙИНВЕСТ»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268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ООО «ПКБ «РЭМ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» (лидер),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ООО «ОВК ЭЛЕКТРО»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966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АО «МИН» 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ЗАО «ПетроЭлектроКомплекс»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«СтройЭнергоИмпорт»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«УНР 171 Монтаж»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ООО «АТЛАНТ»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982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ООО ЭЦ «СП» (лидер),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«Парламент»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775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«СпецЭнергоСервис» (лидер), ООО «СЭС» (участник), ООО «ЗапСтройТранс» (участник), ООО «ПетоЭнергоКомплект»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025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«СпецСтрой-Инжиниринг»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1124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ООО «ГенЭК»(лидер),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«ТРАНСОЙЛ»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775"/>
        </w:trPr>
        <w:tc>
          <w:tcPr>
            <w:tcW w:w="767" w:type="dxa"/>
            <w:vAlign w:val="center"/>
            <w:textDirection w:val="lrTb"/>
            <w:noWrap w:val="false"/>
          </w:tcPr>
          <w:p>
            <w:pPr>
              <w:pStyle w:val="997"/>
              <w:ind w:right="34"/>
              <w:jc w:val="center"/>
              <w:tabs>
                <w:tab w:val="clear" w:pos="4536" w:leader="none"/>
                <w:tab w:val="left" w:pos="963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Коллективный участник в составе: ООО «Первое профессиональное сообщество» (лидер),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«ПетроСтрой Ритм»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02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Соответствует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017"/>
        <w:ind w:left="0"/>
        <w:jc w:val="both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ind w:left="0"/>
        <w:jc w:val="both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ind w:left="0"/>
        <w:jc w:val="both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ind w:left="0"/>
        <w:jc w:val="both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ind w:left="0"/>
        <w:jc w:val="both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4"/>
        </w:numPr>
        <w:ind w:left="0" w:firstLine="567"/>
        <w:jc w:val="both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Закупочн</w:t>
      </w:r>
      <w:r>
        <w:rPr>
          <w:sz w:val="24"/>
          <w:szCs w:val="24"/>
        </w:rPr>
        <w:t xml:space="preserve">ая</w:t>
      </w:r>
      <w:r>
        <w:rPr>
          <w:sz w:val="24"/>
          <w:szCs w:val="24"/>
        </w:rPr>
        <w:t xml:space="preserve"> комиссия решила принять результаты проведенной </w:t>
      </w:r>
      <w:r>
        <w:rPr>
          <w:sz w:val="24"/>
          <w:szCs w:val="24"/>
        </w:rPr>
        <w:t xml:space="preserve">экспертами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экспертизы поступивших </w:t>
      </w:r>
      <w:r>
        <w:rPr>
          <w:sz w:val="24"/>
          <w:szCs w:val="24"/>
        </w:rPr>
        <w:t xml:space="preserve">заявок</w:t>
      </w:r>
      <w:r>
        <w:rPr>
          <w:sz w:val="24"/>
          <w:szCs w:val="24"/>
        </w:rPr>
        <w:t xml:space="preserve"> в рамках критериев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определенных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документации о закупке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предварительному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отбору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электронной форме </w:t>
      </w:r>
      <w:r>
        <w:rPr>
          <w:sz w:val="24"/>
          <w:szCs w:val="24"/>
        </w:rPr>
        <w:t xml:space="preserve">на электронной торговой площадке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"https://tender.lot-online.ru/" </w:instrText>
      </w:r>
      <w:r>
        <w:rPr>
          <w:sz w:val="24"/>
          <w:szCs w:val="24"/>
        </w:rPr>
        <w:fldChar w:fldCharType="separate"/>
      </w:r>
      <w:r>
        <w:rPr>
          <w:rStyle w:val="993"/>
          <w:sz w:val="24"/>
          <w:szCs w:val="24"/>
        </w:rPr>
        <w:t xml:space="preserve">https://tender.lot-online.ru/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лоту: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право заключения </w:t>
      </w:r>
      <w:r>
        <w:rPr>
          <w:sz w:val="24"/>
          <w:szCs w:val="24"/>
        </w:rPr>
        <w:t xml:space="preserve"> рамочных соглашений на выполнение проектно-изыскательских работ, 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 в целях технологического присоеди</w:t>
      </w:r>
      <w:r>
        <w:rPr>
          <w:sz w:val="24"/>
          <w:szCs w:val="24"/>
        </w:rPr>
        <w:t xml:space="preserve">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производства работ </w:t>
      </w:r>
      <w:r>
        <w:rPr>
          <w:sz w:val="24"/>
          <w:szCs w:val="24"/>
        </w:rPr>
        <w:t xml:space="preserve">третьих лиц,  а так </w:t>
      </w:r>
      <w:r>
        <w:rPr>
          <w:sz w:val="24"/>
          <w:szCs w:val="24"/>
        </w:rPr>
        <w:t xml:space="preserve">же выполнения мероприятий на электросетевых объектах в целях реализации дополнительных услуг  по филиалу ПАО «Россети Ленэнерго» «Кабельная сеть»,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ind w:left="567" w:firstLine="0"/>
        <w:jc w:val="both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7"/>
        <w:numPr>
          <w:ilvl w:val="0"/>
          <w:numId w:val="4"/>
        </w:numPr>
        <w:ind w:left="0" w:firstLine="567"/>
        <w:jc w:val="both"/>
        <w:widowControl w:val="off"/>
        <w:tabs>
          <w:tab w:val="left" w:pos="1134" w:leader="none"/>
        </w:tabs>
        <w:rPr>
          <w:sz w:val="24"/>
          <w:szCs w:val="24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709" w:bottom="992" w:left="709" w:header="284" w:footer="40" w:gutter="0"/>
          <w:cols w:num="1" w:sep="0" w:space="720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Юго-Западный РЭС, Южный РЭС, Невский РЭС - общим объемом работ не более 6 015 575 140,00 руб. с НДС (251116)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840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99"/>
        <w:gridCol w:w="845"/>
        <w:gridCol w:w="1858"/>
        <w:gridCol w:w="474"/>
        <w:gridCol w:w="637"/>
        <w:gridCol w:w="714"/>
        <w:gridCol w:w="860"/>
        <w:gridCol w:w="557"/>
        <w:gridCol w:w="567"/>
        <w:gridCol w:w="559"/>
        <w:gridCol w:w="724"/>
        <w:gridCol w:w="724"/>
        <w:gridCol w:w="567"/>
        <w:gridCol w:w="724"/>
        <w:gridCol w:w="582"/>
        <w:gridCol w:w="865"/>
        <w:gridCol w:w="850"/>
        <w:gridCol w:w="582"/>
        <w:gridCol w:w="724"/>
        <w:gridCol w:w="724"/>
        <w:gridCol w:w="724"/>
      </w:tblGrid>
      <w:tr>
        <w:tblPrEx/>
        <w:trPr>
          <w:trHeight w:val="4155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113" w:type="dxa"/>
            <w:vAlign w:val="center"/>
            <w:textDirection w:val="lrTb"/>
            <w:noWrap/>
          </w:tcPr>
          <w:p>
            <w:r/>
            <w:r/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574" w:type="dxa"/>
            <w:vAlign w:val="center"/>
            <w:textDirection w:val="btLr"/>
            <w:noWrap w:val="false"/>
          </w:tcPr>
          <w:p>
            <w:pPr>
              <w:pStyle w:val="984"/>
              <w:ind w:left="0"/>
              <w:jc w:val="center"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ООО «ЭНЕРГОСТРОЙИНВЕСТ»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124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Коллективный участник в составе: ООО ЭЦ «СП» (лидер),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ООО «Парламент» (участник)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82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Коллективный участник: ООО «СпецЭнергоСервис» (лидер), ООО «СЭС» (участник), ООО «ЗапСтройТранс» (участник), ООО «ПетоЭнергоКомплект» (участник)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291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ООО «СпецСтрой-Инжиниринг»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06" w:type="dxa"/>
            <w:vAlign w:val="center"/>
            <w:textDirection w:val="btLr"/>
            <w:noWrap w:val="false"/>
          </w:tcPr>
          <w:p>
            <w:pPr>
              <w:pStyle w:val="984"/>
              <w:ind w:left="0" w:right="0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Коллективный участник в составе: ООО «Первое профессиональное сообщество» (лидер),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ООО «ПетроСтрой Ритм» (участник)</w:t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716" w:type="dxa"/>
            <w:vAlign w:val="center"/>
            <w:textDirection w:val="btLr"/>
            <w:noWrap w:val="false"/>
          </w:tcPr>
          <w:p>
            <w:pPr>
              <w:pStyle w:val="984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Коллективный участник в составе: АО «МИН» (лидер),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984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ЗАО «ПетроЭлектроКомплекс»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984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ООО «СтройЭнергоИмпорт»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(участник),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ООО «УНР 171 Монтаж»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highlight w:val="none"/>
              </w:rPr>
              <w:t xml:space="preserve">ООО «АТЛАНТ»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</w:rPr>
              <w:t xml:space="preserve">(участник)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306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white"/>
              </w:rPr>
              <w:t xml:space="preserve">ООО «ПКБ «РЭМ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</w:rPr>
              <w:t xml:space="preserve">» (лидер),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</w:rPr>
              <w:t xml:space="preserve">ООО «ОВК ЭЛЕКТРО» (участник)</w:t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447" w:type="dxa"/>
            <w:vAlign w:val="center"/>
            <w:textDirection w:val="btLr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Коллективный участник:  ООО «ГенЭК»(лидер),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ООО «ТРАНСОЙЛ» (участник)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1665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99" w:type="dxa"/>
            <w:vAlign w:val="center"/>
            <w:textDirection w:val="lrTb"/>
            <w:noWrap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703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Наименование критериев оценки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btLr"/>
            <w:noWrap w:val="false"/>
          </w:tcPr>
          <w:p>
            <w:pPr>
              <w:ind w:left="113" w:right="113"/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Кол-во требование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Весовой коэффициент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Оценка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Балл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Оценка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Балл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Оценка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Балл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Оценка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Балл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Оценка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Балл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Оценка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Балл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Оценка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Балл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Оценка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Балл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106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99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703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Опыт выполнения аналогичных работ  с 01.03.2022 года по 01.03.2025 г. (включительно)  не менее 20 млн. руб. с НДС.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0,4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22,80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57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20,80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52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23,20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58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19,60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49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20,40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51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20,40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51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19,20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48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82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99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5" w:type="dxa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Наличие квалифицированных кадровых ресурсов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Прораб – с группой по электробезопасности до и выше 1000 В IV группы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0,3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962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Мастер электромонтажного участка, с группой по электробезопасности до и выше 1000 В IV группы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957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Рабочий персонал (бетонщик, каменщик, кабельщик, землекоп, арматурщик, электросварщик)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117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Электромонтажники – по ремонту и монтажу кабельных ЛЭП IV группы по электробезопасности до и выше 1000 В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921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Электромонтажники – по ремонту и монтажу кабельных ЛЭ III группы по электробезопасности до и выше 1000 В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6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778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Электромонтажники – IV группы по электробезопасности до и выше 1000 В.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81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Электромонтажники оборудования – IV группы по электробезопасности до и выше 1000 В.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81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Электромонтажники оборудования – III группы по электробезопасности до и выше 1000 В.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6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427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МОП и охрана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Главный инженер/заместитель главного инженера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434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Главный инженер проекта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32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Инженер по согласованию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32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Инженер - проектировщик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6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Инженер - геодезист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Инженер - эколог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434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Инженер - строитель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32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Инженер - сметчик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630"/>
        </w:trPr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0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ИТОГО КАДРЫ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42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299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45" w:type="dxa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Наличие материально-технических ресурсов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Экскаватор-погрузчик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0,3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Экскаватор-бульдозер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Одновальцовый виброкаток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Автокран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Автомобиль бортовой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Автомобиль самосвал (6х4)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Тягач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Автомобиль легковой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Сварочный трансформатор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Передвижной сварочный агрегат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Виброплита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Передвижная компрессорная установка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Отбойный молоток пневмо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Бетонолом пневмо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Мойка для мытья колес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Передвижная осветительная установка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33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Электротехническая лаборатория (от 10 кВ)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Манипулятор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Установка для ГНБ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Офисное помещение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Электронный тахеометр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Дальномер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Нивелир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Лицензированный программный комплекс «АО»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37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Лицензированный программный комплекс «Гранд-Смета»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1231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Лицензированный программный комплекс «AutoCAD», либо «nanoCAD» или др. альтернативные программные комплексы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7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Комплект геодезической аппаратуры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7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Компьютерное и программное обеспечение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57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МФУ с форматом печати А0-А4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5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63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Плоттер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675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1858" w:type="dxa"/>
            <w:vAlign w:val="top"/>
            <w:textDirection w:val="lrTb"/>
            <w:noWrap w:val="false"/>
          </w:tcPr>
          <w:p>
            <w:pPr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Брошюровщик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100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675"/>
        </w:trPr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0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ИТОГО МТР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29,03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30,00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16"/>
                <w:szCs w:val="16"/>
              </w:rPr>
              <w:t xml:space="preserve"> </w:t>
            </w:r>
            <w:r>
              <w:rPr>
                <w:b w:val="0"/>
                <w:bCs w:val="0"/>
                <w:sz w:val="16"/>
                <w:szCs w:val="16"/>
              </w:rPr>
            </w:r>
            <w:r>
              <w:rPr>
                <w:b w:val="0"/>
                <w:bCs w:val="0"/>
                <w:sz w:val="16"/>
                <w:szCs w:val="16"/>
              </w:rPr>
            </w:r>
          </w:p>
        </w:tc>
      </w:tr>
      <w:tr>
        <w:tblPrEx/>
        <w:trPr>
          <w:trHeight w:val="615"/>
        </w:trPr>
        <w:tc>
          <w:tcPr>
            <w:gridSpan w:val="3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300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ИТОГО БАЛЛОВ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474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637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1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81,83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80,80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59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83,20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79,60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6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80,40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6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80,40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85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582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100,00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79,20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15" w:type="dxa"/>
              <w:top w:w="15" w:type="dxa"/>
              <w:right w:w="15" w:type="dxa"/>
              <w:bottom w:w="0" w:type="dxa"/>
            </w:tcMar>
            <w:tcW w:w="724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16"/>
                <w:szCs w:val="16"/>
              </w:rPr>
              <w:t xml:space="preserve"> </w:t>
            </w:r>
            <w:r>
              <w:rPr>
                <w:b/>
                <w:bCs/>
                <w:sz w:val="16"/>
                <w:szCs w:val="16"/>
              </w:rPr>
            </w:r>
            <w:r>
              <w:rPr>
                <w:b/>
                <w:bCs/>
                <w:sz w:val="16"/>
                <w:szCs w:val="16"/>
              </w:rPr>
            </w:r>
          </w:p>
        </w:tc>
      </w:tr>
    </w:tbl>
    <w:p>
      <w:pPr>
        <w:pStyle w:val="984"/>
        <w:rPr>
          <w:sz w:val="24"/>
          <w:szCs w:val="24"/>
        </w:rPr>
        <w:sectPr>
          <w:footerReference w:type="default" r:id="rId10"/>
          <w:footnotePr/>
          <w:endnotePr/>
          <w:type w:val="nextPage"/>
          <w:pgSz w:w="16838" w:h="11906" w:orient="landscape"/>
          <w:pgMar w:top="709" w:right="709" w:bottom="709" w:left="992" w:header="284" w:footer="40" w:gutter="0"/>
          <w:cols w:num="1" w:sep="0" w:space="720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numPr>
          <w:ilvl w:val="0"/>
          <w:numId w:val="2"/>
        </w:numPr>
        <w:ind w:right="168"/>
        <w:jc w:val="both"/>
      </w:pPr>
      <w:r>
        <w:t xml:space="preserve">Закупочная</w:t>
      </w:r>
      <w:r>
        <w:t xml:space="preserve"> комиссия по результатам голосования решила:</w:t>
      </w:r>
      <w:r/>
    </w:p>
    <w:p>
      <w:pPr>
        <w:pStyle w:val="1017"/>
        <w:ind w:left="0"/>
        <w:jc w:val="both"/>
        <w:widowControl w:val="off"/>
        <w:tabs>
          <w:tab w:val="left" w:pos="567" w:leader="none"/>
        </w:tabs>
      </w:pPr>
      <w:r/>
      <w:r/>
    </w:p>
    <w:p>
      <w:pPr>
        <w:pStyle w:val="984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1. </w:t>
      </w:r>
      <w:r>
        <w:rPr>
          <w:bCs/>
        </w:rPr>
        <w:t xml:space="preserve">Принимая во внимание </w:t>
      </w:r>
      <w:r>
        <w:t xml:space="preserve">результаты проведенной экспертами экспертизы поступивших заявок </w:t>
      </w:r>
      <w:r>
        <w:rPr>
          <w:bCs/>
        </w:rPr>
        <w:t xml:space="preserve">участников </w:t>
      </w:r>
      <w:r>
        <w:rPr>
          <w:bCs/>
        </w:rPr>
        <w:t xml:space="preserve">по</w:t>
      </w:r>
      <w:r>
        <w:rPr>
          <w:bCs/>
        </w:rPr>
        <w:t xml:space="preserve"> </w:t>
      </w:r>
      <w:r>
        <w:t xml:space="preserve">предварительному отбору</w:t>
      </w:r>
      <w:r>
        <w:rPr>
          <w:bCs/>
        </w:rPr>
        <w:t xml:space="preserve"> </w:t>
      </w:r>
      <w:r>
        <w:t xml:space="preserve">в электронной форме </w:t>
      </w:r>
      <w:r>
        <w:t xml:space="preserve"> </w:t>
      </w:r>
      <w:r>
        <w:t xml:space="preserve">на </w:t>
      </w:r>
      <w:r>
        <w:t xml:space="preserve">п</w:t>
      </w:r>
      <w:r>
        <w:t xml:space="preserve">раво заключения </w:t>
      </w:r>
      <w:r>
        <w:t xml:space="preserve"> рамочных соглашений на выполнение проектно-изыскательских работ, 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 в целях технологического присоеди</w:t>
      </w:r>
      <w:r>
        <w:t xml:space="preserve">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производства работ третьих лиц,  а так </w:t>
      </w:r>
      <w:r>
        <w:t xml:space="preserve">же выполнения мероприятий на электросетевых объектах в целях реализации дополнительных услуг  по филиалу ПАО «Россети Ленэнерго» «Кабельная сеть», Юго-Западный РЭС, Южный РЭС, Невский РЭС - общим объемом работ не более 6 015 575 140,00 руб. с НДС (251116)</w:t>
      </w:r>
      <w:r>
        <w:t xml:space="preserve">, п</w:t>
      </w:r>
      <w:r>
        <w:rPr>
          <w:bCs/>
        </w:rPr>
        <w:t xml:space="preserve">ризнать соответствующими требованиям документации о закупке и принять к дальнейшему рассмотрению заявки следующих участников:</w:t>
      </w:r>
      <w:r>
        <w:rPr>
          <w:bCs/>
        </w:rPr>
      </w:r>
      <w:r>
        <w:rPr>
          <w:bCs/>
        </w:rPr>
      </w:r>
    </w:p>
    <w:p>
      <w:pPr>
        <w:pStyle w:val="984"/>
        <w:ind w:left="1069"/>
        <w:jc w:val="both"/>
        <w:tabs>
          <w:tab w:val="left" w:pos="1418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0206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418"/>
        <w:gridCol w:w="87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9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9"/>
            </w:pPr>
            <w:r>
              <w:t xml:space="preserve">Номер 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89"/>
            </w:pPr>
            <w:r>
              <w:rPr>
                <w:bCs/>
              </w:rPr>
              <w:t xml:space="preserve">Участник предварительного отбора в электронной форме</w:t>
            </w:r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84"/>
              <w:ind w:left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ООО «ЭНЕРГОСТРОЙИНВЕСТ»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ООО «ПКБ «РЭМ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» (лидер),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ООО «ОВК ЭЛЕКТРО»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4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АО «МИН» 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ЗАО «ПетроЭлектроКомплекс»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«СтройЭнергоИмпорт»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«УНР 171 Монтаж»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ООО «АТЛАНТ»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ООО ЭЦ «СП» (лидер),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«Парламент»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ООО «СпецЭнергоСервис» (лидер), ООО «СЭС» (участник), ООО «ЗапСтройТранс» (участник), ООО «ПетоЭнергоКомплект»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«СпецСтрой-Инжиниринг»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 ООО «ГенЭК»(лидер),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«ТРАНСОЙЛ»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10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Коллективный участник в составе: ООО «Первое профессиональное сообщество» (лидер),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«ПетроСтрой Ритм»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jc w:val="both"/>
        <w:widowControl w:val="off"/>
        <w:tabs>
          <w:tab w:val="left" w:pos="567" w:leader="none"/>
        </w:tabs>
      </w:pPr>
      <w:r/>
      <w:r/>
    </w:p>
    <w:p>
      <w:pPr>
        <w:pStyle w:val="984"/>
        <w:jc w:val="both"/>
        <w:widowControl w:val="off"/>
        <w:tabs>
          <w:tab w:val="left" w:pos="567" w:leader="none"/>
        </w:tabs>
      </w:pPr>
      <w:r/>
      <w:r/>
    </w:p>
    <w:p>
      <w:pPr>
        <w:pStyle w:val="984"/>
        <w:jc w:val="both"/>
        <w:widowControl w:val="off"/>
        <w:tabs>
          <w:tab w:val="left" w:pos="0" w:leader="none"/>
        </w:tabs>
      </w:pPr>
      <w:r>
        <w:t xml:space="preserve">2. </w:t>
      </w:r>
      <w:r>
        <w:t xml:space="preserve">В соответствии с п.</w:t>
      </w:r>
      <w:r>
        <w:t xml:space="preserve">п.</w:t>
      </w:r>
      <w:r>
        <w:t xml:space="preserve"> </w:t>
      </w:r>
      <w:r>
        <w:t xml:space="preserve">5.4</w:t>
      </w:r>
      <w:r>
        <w:t xml:space="preserve">.4.</w:t>
      </w:r>
      <w:r>
        <w:t xml:space="preserve"> п. 5.4 раздела 5</w:t>
      </w:r>
      <w:r>
        <w:t xml:space="preserve"> </w:t>
      </w:r>
      <w:r>
        <w:t xml:space="preserve">части </w:t>
      </w:r>
      <w:r>
        <w:rPr>
          <w:lang w:val="en-US"/>
        </w:rPr>
        <w:t xml:space="preserve">I</w:t>
      </w:r>
      <w:r>
        <w:t xml:space="preserve"> «ОБЩИЕ УСЛОВИЯ ПРОВЕДЕНИЯ ЗАКУПКИ» </w:t>
      </w:r>
      <w:r>
        <w:t xml:space="preserve">документации </w:t>
      </w:r>
      <w:r>
        <w:t xml:space="preserve">о закупке </w:t>
      </w:r>
      <w:r>
        <w:t xml:space="preserve">признать победителями и заключить рамочные соглашения со следующими участниками предварительного отбора </w:t>
      </w:r>
      <w:r>
        <w:t xml:space="preserve">в электронной форме </w:t>
      </w:r>
      <w:r>
        <w:t xml:space="preserve">на электронной торговой площадке </w:t>
      </w:r>
      <w:r>
        <w:fldChar w:fldCharType="begin"/>
      </w:r>
      <w:r>
        <w:instrText xml:space="preserve"> HYPERLINK "https://tender.lot-online.ru/" </w:instrText>
      </w:r>
      <w:r>
        <w:fldChar w:fldCharType="separate"/>
      </w:r>
      <w:r>
        <w:rPr>
          <w:rStyle w:val="993"/>
        </w:rPr>
        <w:t xml:space="preserve">https://tender.lot-online.ru/</w:t>
      </w:r>
      <w:r>
        <w:fldChar w:fldCharType="end"/>
      </w:r>
      <w:r>
        <w:t xml:space="preserve"> </w:t>
      </w:r>
      <w:r>
        <w:t xml:space="preserve">на </w:t>
      </w:r>
      <w:r>
        <w:t xml:space="preserve">п</w:t>
      </w:r>
      <w:r>
        <w:t xml:space="preserve">раво заключения </w:t>
      </w:r>
      <w:r>
        <w:t xml:space="preserve"> рамочных соглашений на выполнение проектно-изыскательских работ, 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 в целях технологического присоеди</w:t>
      </w:r>
      <w:r>
        <w:t xml:space="preserve">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производства работ третьих лиц,  а так </w:t>
      </w:r>
      <w:r>
        <w:t xml:space="preserve">же выполнения мероприятий на электросетевых объектах в целях реализации дополнительных услуг  по филиалу ПАО «Россети Ленэнерго» «Кабельная сеть», Юго-Западный РЭС, Южный РЭС, Невский РЭС - общим объемом работ не более 6 015 575 140,00 руб. с НДС (251116)</w:t>
      </w:r>
      <w:r>
        <w:t xml:space="preserve">:</w:t>
      </w:r>
      <w:r/>
    </w:p>
    <w:p>
      <w:pPr>
        <w:pStyle w:val="984"/>
        <w:ind w:left="709"/>
        <w:jc w:val="both"/>
        <w:widowControl w:val="off"/>
        <w:tabs>
          <w:tab w:val="left" w:pos="0" w:leader="none"/>
        </w:tabs>
      </w:pPr>
      <w:r/>
      <w:r/>
    </w:p>
    <w:tbl>
      <w:tblPr>
        <w:tblW w:w="10206" w:type="dxa"/>
        <w:tblInd w:w="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1418"/>
        <w:gridCol w:w="87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9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9"/>
            </w:pPr>
            <w:r>
              <w:t xml:space="preserve">Номер 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89"/>
            </w:pPr>
            <w:r>
              <w:rPr>
                <w:bCs/>
              </w:rPr>
              <w:t xml:space="preserve">Участник предварительного отбора в электронной форме</w:t>
            </w:r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84"/>
              <w:ind w:left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ООО «ЭНЕРГОСТРОЙИНВЕСТ»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6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ООО «ПКБ «РЭМ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» (лидер),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ООО «ОВК ЭЛЕКТРО»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АО «МИН» 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ЗАО «ПетроЭлектроКомплекс»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«СтройЭнергоИмпорт»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«УНР 171 Монтаж»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ООО «АТЛАНТ»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 в составе: ООО ЭЦ «СП» (лидер),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«Парламент»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ООО «СпецЭнергоСервис» (лидер), ООО «СЭС» (участник), ООО «ЗапСтройТранс» (участник), ООО «ПетоЭнергоКомплект»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«СпецСтрой-Инжиниринг»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Коллективный участник:  ООО «ГенЭК»(лидер),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ООО «ТРАНСОЙЛ»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5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97"/>
              <w:ind w:left="113" w:right="0"/>
              <w:jc w:val="center"/>
              <w:tabs>
                <w:tab w:val="clear" w:pos="4536" w:leader="none"/>
                <w:tab w:val="left" w:pos="9639" w:leader="none"/>
              </w:tabs>
            </w:pPr>
            <w:r>
              <w:t xml:space="preserve">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88" w:type="dxa"/>
            <w:vAlign w:val="center"/>
            <w:textDirection w:val="lrTb"/>
            <w:noWrap w:val="false"/>
          </w:tcPr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Коллективный участник в составе: ООО «Первое профессиональное сообщество» (лидер),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84"/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ООО «ПетроСтрой Ритм» (участник)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984"/>
        <w:ind w:left="1069"/>
        <w:jc w:val="both"/>
        <w:widowControl w:val="off"/>
        <w:tabs>
          <w:tab w:val="left" w:pos="0" w:leader="none"/>
        </w:tabs>
      </w:pPr>
      <w:r/>
      <w:r/>
    </w:p>
    <w:p>
      <w:pPr>
        <w:pStyle w:val="984"/>
        <w:jc w:val="both"/>
        <w:widowControl w:val="off"/>
        <w:tabs>
          <w:tab w:val="left" w:pos="0" w:leader="none"/>
        </w:tabs>
      </w:pPr>
      <w:r>
        <w:t xml:space="preserve">3. </w:t>
      </w:r>
      <w:r>
        <w:t xml:space="preserve">Срок выполнения работ (срок действия рамочного соглашения) – </w:t>
      </w:r>
      <w:r>
        <w:t xml:space="preserve">с даты заключения </w:t>
      </w:r>
      <w:r>
        <w:t xml:space="preserve">рамочного соглашения</w:t>
      </w:r>
      <w:r>
        <w:t xml:space="preserve"> - 30.12.2026</w:t>
      </w:r>
      <w:r>
        <w:t xml:space="preserve">.</w:t>
      </w:r>
      <w:r/>
    </w:p>
    <w:p>
      <w:pPr>
        <w:pStyle w:val="1010"/>
        <w:jc w:val="both"/>
        <w:spacing w:before="0" w:after="0"/>
        <w:widowControl w:val="off"/>
        <w:tabs>
          <w:tab w:val="left" w:pos="567" w:leader="none"/>
        </w:tabs>
        <w:rPr>
          <w:bCs/>
          <w:szCs w:val="24"/>
        </w:rPr>
      </w:pPr>
      <w:r>
        <w:rPr>
          <w:bCs/>
          <w:szCs w:val="24"/>
        </w:rPr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1010"/>
        <w:jc w:val="both"/>
        <w:spacing w:before="0" w:after="0"/>
        <w:widowControl w:val="off"/>
        <w:tabs>
          <w:tab w:val="left" w:pos="567" w:leader="none"/>
        </w:tabs>
        <w:rPr>
          <w:bCs/>
          <w:szCs w:val="24"/>
        </w:rPr>
      </w:pPr>
      <w:r>
        <w:rPr>
          <w:bCs/>
          <w:szCs w:val="24"/>
        </w:rPr>
      </w:r>
      <w:r>
        <w:rPr>
          <w:bCs/>
          <w:szCs w:val="24"/>
        </w:rPr>
      </w:r>
      <w:r>
        <w:rPr>
          <w:bCs/>
          <w:szCs w:val="24"/>
        </w:rPr>
      </w:r>
    </w:p>
    <w:p>
      <w:pPr>
        <w:pStyle w:val="984"/>
        <w:ind w:left="142"/>
        <w:jc w:val="both"/>
      </w:pPr>
      <w:r>
        <w:rPr>
          <w:b/>
          <w:iCs/>
        </w:rPr>
        <w:br w:type="page" w:clear="all"/>
      </w:r>
      <w:r>
        <w:rPr>
          <w:iCs/>
        </w:rPr>
        <w:t xml:space="preserve">Результаты голосования: </w:t>
      </w:r>
      <w:r>
        <w:t xml:space="preserve">«За» - ____ членов комиссии; «Против» - ____ членов комиссии; «Воздержался» - ____</w:t>
      </w:r>
      <w:r>
        <w:t xml:space="preserve"> членов комиссии; «Отсутствовал</w:t>
      </w:r>
      <w:r>
        <w:t xml:space="preserve">» - ____ членов комиссии.</w:t>
      </w:r>
      <w:r/>
    </w:p>
    <w:p>
      <w:pPr>
        <w:pStyle w:val="984"/>
        <w:ind w:left="142"/>
        <w:jc w:val="both"/>
      </w:pPr>
      <w:r/>
      <w:r/>
    </w:p>
    <w:p>
      <w:pPr>
        <w:pStyle w:val="984"/>
        <w:ind w:left="142"/>
        <w:jc w:val="both"/>
      </w:pPr>
      <w:r/>
      <w:r/>
    </w:p>
    <w:p>
      <w:pPr>
        <w:pStyle w:val="984"/>
        <w:ind w:left="142"/>
        <w:jc w:val="both"/>
      </w:pPr>
      <w:r>
        <w:t xml:space="preserve">Подписи членов Закупочной комиссии:</w:t>
      </w:r>
      <w:r/>
    </w:p>
    <w:p>
      <w:pPr>
        <w:pStyle w:val="984"/>
        <w:ind w:left="142"/>
        <w:jc w:val="both"/>
      </w:pPr>
      <w:r/>
      <w:r/>
    </w:p>
    <w:tbl>
      <w:tblPr>
        <w:tblW w:w="10444" w:type="dxa"/>
        <w:jc w:val="center"/>
        <w:tblInd w:w="-17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02"/>
        <w:gridCol w:w="1418"/>
        <w:gridCol w:w="1559"/>
        <w:gridCol w:w="2126"/>
        <w:gridCol w:w="3639"/>
      </w:tblGrid>
      <w:tr>
        <w:tblPrEx/>
        <w:trPr>
          <w:trHeight w:val="10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84"/>
              <w:ind w:left="40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За/Против/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Возд./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Отсутст.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Подпись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ФИО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Должность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1309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Председатель комиссии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</w:pPr>
            <w:r>
              <w:t xml:space="preserve">Бечик С.Е.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20"/>
              <w:ind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Исполняющий обязанности начальника департамента логистики и МТО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20"/>
              <w:ind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ПАО «Россети Ленэнерго»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95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rPr>
                <w:color w:val="000000"/>
              </w:rPr>
            </w:pPr>
            <w:r>
              <w:t xml:space="preserve">Заместитель председателя комиссии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</w:pPr>
            <w:r>
              <w:t xml:space="preserve">Захаров А.В.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20"/>
              <w:ind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по безопасности - начальник департамента безопасности ПАО «Россети Ленэнерго»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98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restart"/>
            <w:textDirection w:val="lrTb"/>
            <w:noWrap w:val="false"/>
          </w:tcPr>
          <w:p>
            <w:pPr>
              <w:pStyle w:val="984"/>
              <w:ind w:left="18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Члены комиссии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</w:pPr>
            <w:r>
              <w:t xml:space="preserve">Гаас О.А.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20"/>
              <w:ind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Исполняющий обязанности директора по финансам – начальника департамента финансов ПАО «Россети Ленэнерго»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0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ind w:left="181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20"/>
              <w:ind w:left="40" w:firstLine="0"/>
              <w:jc w:val="center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Чумак Ю.В.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1020"/>
              <w:ind w:left="40" w:firstLine="0"/>
              <w:spacing w:after="0" w:line="240" w:lineRule="auto"/>
              <w:shd w:val="clear" w:color="auto" w:fil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антикоррупционных комплаенс-процедур ПАО «Россети Ленэнерго»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05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pPr>
              <w:pStyle w:val="984"/>
              <w:ind w:left="181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</w:pPr>
            <w:r>
              <w:t xml:space="preserve">Подольский В.А.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4"/>
            </w:pPr>
            <w:r>
              <w:t xml:space="preserve">Заместитель начальника отдела правовой экспертизы </w:t>
              <w:br w:type="textWrapping" w:clear="all"/>
              <w:t xml:space="preserve">ПАО «Россети Ленэнерго»</w:t>
            </w:r>
            <w:r/>
          </w:p>
        </w:tc>
      </w:tr>
      <w:tr>
        <w:tblPrEx/>
        <w:trPr>
          <w:trHeight w:val="118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84"/>
              <w:ind w:left="181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</w:pPr>
            <w:r>
              <w:t xml:space="preserve">Батанов П.В.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4"/>
            </w:pPr>
            <w:r>
              <w:t xml:space="preserve">Заместитель главного инженера </w:t>
              <w:br w:type="textWrapping" w:clear="all"/>
              <w:t xml:space="preserve">по высоковольтным сетям – начальник департамента высоковольтных сетей ПАО «Россети Ленэнерго»</w:t>
            </w:r>
            <w:r/>
          </w:p>
        </w:tc>
      </w:tr>
      <w:tr>
        <w:tblPrEx/>
        <w:trPr>
          <w:trHeight w:val="106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84"/>
              <w:ind w:left="181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</w:pPr>
            <w:r>
              <w:t xml:space="preserve">Сафонов А.М.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4"/>
            </w:pPr>
            <w:r>
              <w:t xml:space="preserve">Начальник тендерно-договорного отдела управления строительства и реконструкции объектов распределительной сети департамента капитального строительства ПАО «Россети Ленэнерго»</w:t>
            </w:r>
            <w:r/>
          </w:p>
        </w:tc>
      </w:tr>
      <w:tr>
        <w:tblPrEx/>
        <w:trPr>
          <w:trHeight w:val="10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84"/>
              <w:ind w:left="181"/>
              <w:jc w:val="both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bottom"/>
            <w:textDirection w:val="lrTb"/>
            <w:noWrap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</w:pPr>
            <w:r>
              <w:t xml:space="preserve">Целищев Д.Д.</w:t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4"/>
            </w:pPr>
            <w:r>
              <w:t xml:space="preserve">Директор филиала </w:t>
              <w:br/>
              <w:t xml:space="preserve">ПАО «Россети Ленэнерго» «КС»</w:t>
            </w:r>
            <w:r/>
          </w:p>
        </w:tc>
      </w:tr>
      <w:tr>
        <w:tblPrEx/>
        <w:trPr>
          <w:trHeight w:val="9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Секретарь комиссии (без права голоса)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 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84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Степанова Т.А.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639" w:type="dxa"/>
            <w:vAlign w:val="center"/>
            <w:textDirection w:val="lrTb"/>
            <w:noWrap w:val="false"/>
          </w:tcPr>
          <w:p>
            <w:pPr>
              <w:pStyle w:val="984"/>
              <w:rPr>
                <w:color w:val="000000"/>
              </w:rPr>
            </w:pPr>
            <w:r>
              <w:rPr>
                <w:color w:val="000000"/>
              </w:rPr>
              <w:t xml:space="preserve">Главный специалист отдела подготовки и проведения конкурсов ПАО «Россети Ленэнерго»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709" w:right="709" w:bottom="992" w:left="709" w:header="284" w:footer="4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 CYR">
    <w:panose1 w:val="02020603050405020304"/>
  </w:font>
  <w:font w:name="Tahoma">
    <w:panose1 w:val="020B0604030504040204"/>
  </w:font>
  <w:font w:name="Times New Roman">
    <w:panose1 w:val="020206030504050203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6"/>
      <w:jc w:val="center"/>
      <w:widowControl w:val="off"/>
      <w:tabs>
        <w:tab w:val="num" w:pos="1418" w:leader="none"/>
      </w:tabs>
      <w:rPr>
        <w:bCs/>
        <w:sz w:val="16"/>
        <w:szCs w:val="16"/>
      </w:rPr>
    </w:pPr>
    <w:r>
      <w:rPr>
        <w:bCs/>
        <w:sz w:val="16"/>
        <w:szCs w:val="16"/>
      </w:rPr>
      <w:t xml:space="preserve">Протокол </w:t>
    </w:r>
    <w:r>
      <w:rPr>
        <w:bCs/>
        <w:sz w:val="16"/>
        <w:szCs w:val="16"/>
      </w:rPr>
      <w:t xml:space="preserve">№</w:t>
    </w:r>
    <w:r>
      <w:rPr>
        <w:bCs/>
        <w:sz w:val="16"/>
        <w:szCs w:val="16"/>
      </w:rPr>
      <w:t xml:space="preserve"> </w:t>
    </w:r>
    <w:r>
      <w:rPr>
        <w:bCs/>
        <w:sz w:val="16"/>
        <w:szCs w:val="16"/>
      </w:rPr>
      <w:t xml:space="preserve">251116-3</w:t>
    </w:r>
    <w:r>
      <w:rPr>
        <w:bCs/>
        <w:sz w:val="16"/>
        <w:szCs w:val="16"/>
      </w:rPr>
    </w:r>
    <w:r>
      <w:rPr>
        <w:bCs/>
        <w:sz w:val="16"/>
        <w:szCs w:val="16"/>
      </w:rPr>
    </w:r>
  </w:p>
  <w:p>
    <w:pPr>
      <w:pStyle w:val="986"/>
      <w:jc w:val="center"/>
      <w:widowControl w:val="off"/>
      <w:tabs>
        <w:tab w:val="num" w:pos="1418" w:leader="none"/>
      </w:tabs>
      <w:rPr>
        <w:bCs/>
        <w:sz w:val="16"/>
        <w:szCs w:val="16"/>
      </w:rPr>
    </w:pPr>
    <w:r>
      <w:rPr>
        <w:bCs/>
        <w:sz w:val="16"/>
        <w:szCs w:val="16"/>
      </w:rPr>
      <w:t xml:space="preserve">страница </w:t>
    </w: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 xml:space="preserve">PAGE</w:instrText>
    </w:r>
    <w:r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 xml:space="preserve">1</w:t>
    </w:r>
    <w:r>
      <w:rPr>
        <w:bCs/>
        <w:sz w:val="16"/>
        <w:szCs w:val="16"/>
      </w:rPr>
      <w:fldChar w:fldCharType="end"/>
    </w:r>
    <w:r>
      <w:rPr>
        <w:bCs/>
        <w:sz w:val="16"/>
        <w:szCs w:val="16"/>
      </w:rPr>
      <w:t xml:space="preserve"> из </w:t>
    </w: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 xml:space="preserve">NUMPAGES</w:instrText>
    </w:r>
    <w:r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 xml:space="preserve">11</w:t>
    </w:r>
    <w:r>
      <w:rPr>
        <w:bCs/>
        <w:sz w:val="16"/>
        <w:szCs w:val="16"/>
      </w:rPr>
      <w:fldChar w:fldCharType="end"/>
    </w:r>
    <w:r>
      <w:rPr>
        <w:bCs/>
        <w:sz w:val="16"/>
        <w:szCs w:val="16"/>
      </w:rPr>
    </w:r>
    <w:r>
      <w:rPr>
        <w:bCs/>
        <w:sz w:val="16"/>
        <w:szCs w:val="16"/>
      </w:rPr>
    </w:r>
  </w:p>
  <w:p>
    <w:pPr>
      <w:pStyle w:val="984"/>
      <w:jc w:val="center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6"/>
      <w:jc w:val="center"/>
      <w:widowControl w:val="off"/>
      <w:tabs>
        <w:tab w:val="num" w:pos="1418" w:leader="none"/>
      </w:tabs>
      <w:rPr>
        <w:bCs/>
        <w:sz w:val="16"/>
        <w:szCs w:val="16"/>
      </w:rPr>
    </w:pPr>
    <w:r>
      <w:rPr>
        <w:bCs/>
        <w:sz w:val="16"/>
        <w:szCs w:val="16"/>
      </w:rPr>
      <w:t xml:space="preserve">Протокол </w:t>
    </w:r>
    <w:r>
      <w:rPr>
        <w:bCs/>
        <w:sz w:val="16"/>
        <w:szCs w:val="16"/>
      </w:rPr>
      <w:t xml:space="preserve">№</w:t>
    </w:r>
    <w:r>
      <w:rPr>
        <w:bCs/>
        <w:sz w:val="16"/>
        <w:szCs w:val="16"/>
      </w:rPr>
      <w:t xml:space="preserve"> </w:t>
    </w:r>
    <w:r>
      <w:rPr>
        <w:bCs/>
        <w:sz w:val="16"/>
        <w:szCs w:val="16"/>
      </w:rPr>
      <w:t xml:space="preserve">251116-3</w:t>
    </w:r>
    <w:r>
      <w:rPr>
        <w:bCs/>
        <w:sz w:val="16"/>
        <w:szCs w:val="16"/>
      </w:rPr>
    </w:r>
    <w:r>
      <w:rPr>
        <w:bCs/>
        <w:sz w:val="16"/>
        <w:szCs w:val="16"/>
      </w:rPr>
    </w:r>
  </w:p>
  <w:p>
    <w:pPr>
      <w:pStyle w:val="986"/>
      <w:jc w:val="center"/>
      <w:widowControl w:val="off"/>
      <w:tabs>
        <w:tab w:val="num" w:pos="1418" w:leader="none"/>
      </w:tabs>
      <w:rPr>
        <w:bCs/>
        <w:sz w:val="16"/>
        <w:szCs w:val="16"/>
      </w:rPr>
    </w:pPr>
    <w:r>
      <w:rPr>
        <w:bCs/>
        <w:sz w:val="16"/>
        <w:szCs w:val="16"/>
      </w:rPr>
      <w:t xml:space="preserve">страница </w:t>
    </w: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 xml:space="preserve">PAGE</w:instrText>
    </w:r>
    <w:r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 xml:space="preserve">1</w:t>
    </w:r>
    <w:r>
      <w:rPr>
        <w:bCs/>
        <w:sz w:val="16"/>
        <w:szCs w:val="16"/>
      </w:rPr>
      <w:fldChar w:fldCharType="end"/>
    </w:r>
    <w:r>
      <w:rPr>
        <w:bCs/>
        <w:sz w:val="16"/>
        <w:szCs w:val="16"/>
      </w:rPr>
      <w:t xml:space="preserve"> из </w:t>
    </w:r>
    <w:r>
      <w:rPr>
        <w:bCs/>
        <w:sz w:val="16"/>
        <w:szCs w:val="16"/>
      </w:rPr>
      <w:fldChar w:fldCharType="begin"/>
    </w:r>
    <w:r>
      <w:rPr>
        <w:bCs/>
        <w:sz w:val="16"/>
        <w:szCs w:val="16"/>
      </w:rPr>
      <w:instrText xml:space="preserve">NUMPAGES</w:instrText>
    </w:r>
    <w:r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 xml:space="preserve">11</w:t>
    </w:r>
    <w:r>
      <w:rPr>
        <w:bCs/>
        <w:sz w:val="16"/>
        <w:szCs w:val="16"/>
      </w:rPr>
      <w:fldChar w:fldCharType="end"/>
    </w:r>
    <w:r>
      <w:rPr>
        <w:bCs/>
        <w:sz w:val="16"/>
        <w:szCs w:val="16"/>
      </w:rPr>
    </w:r>
    <w:r>
      <w:rPr>
        <w:bCs/>
        <w:sz w:val="16"/>
        <w:szCs w:val="16"/>
      </w:rPr>
    </w:r>
  </w:p>
  <w:p>
    <w:pPr>
      <w:pStyle w:val="984"/>
      <w:jc w:val="center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04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3"/>
      <w:numFmt w:val="decimalZero"/>
      <w:isLgl w:val="false"/>
      <w:suff w:val="tab"/>
      <w:lvlText w:val="%1"/>
      <w:lvlJc w:val="left"/>
      <w:pPr>
        <w:ind w:left="1080" w:hanging="1080"/>
      </w:pPr>
    </w:lvl>
    <w:lvl w:ilvl="1">
      <w:start w:val="6"/>
      <w:numFmt w:val="decimalZero"/>
      <w:isLgl w:val="false"/>
      <w:suff w:val="tab"/>
      <w:lvlText w:val="%1.%2"/>
      <w:lvlJc w:val="left"/>
      <w:pPr>
        <w:ind w:left="1080" w:hanging="1080"/>
      </w:pPr>
    </w:lvl>
    <w:lvl w:ilvl="2">
      <w:start w:val="2022"/>
      <w:numFmt w:val="decimal"/>
      <w:isLgl w:val="false"/>
      <w:suff w:val="tab"/>
      <w:lvlText w:val="%1.%2.%3"/>
      <w:lvlJc w:val="left"/>
      <w:pPr>
        <w:ind w:left="1080" w:hanging="108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397"/>
        <w:tabs>
          <w:tab w:val="num" w:pos="51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7">
    <w:multiLevelType w:val="hybridMultilevel"/>
    <w:lvl w:ilvl="0">
      <w:start w:val="990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44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-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02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942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662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102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822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>
    <w:multiLevelType w:val="hybridMultilevel"/>
    <w:lvl w:ilvl="0">
      <w:start w:val="990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397"/>
        <w:tabs>
          <w:tab w:val="num" w:pos="510" w:leader="none"/>
        </w:tabs>
      </w:pPr>
    </w:lvl>
    <w:lvl w:ilvl="1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4">
    <w:multiLevelType w:val="hybridMultilevel"/>
    <w:lvl w:ilvl="0">
      <w:start w:val="750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2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18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3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126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24" w:hanging="57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069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2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78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78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4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4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09" w:hanging="180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7"/>
  </w:num>
  <w:num w:numId="3">
    <w:abstractNumId w:val="33"/>
  </w:num>
  <w:num w:numId="4">
    <w:abstractNumId w:val="30"/>
  </w:num>
  <w:num w:numId="5">
    <w:abstractNumId w:val="17"/>
  </w:num>
  <w:num w:numId="6">
    <w:abstractNumId w:val="25"/>
  </w:num>
  <w:num w:numId="7">
    <w:abstractNumId w:val="0"/>
  </w:num>
  <w:num w:numId="8">
    <w:abstractNumId w:val="9"/>
  </w:num>
  <w:num w:numId="9">
    <w:abstractNumId w:val="12"/>
  </w:num>
  <w:num w:numId="10">
    <w:abstractNumId w:val="19"/>
  </w:num>
  <w:num w:numId="11">
    <w:abstractNumId w:val="8"/>
  </w:num>
  <w:num w:numId="12">
    <w:abstractNumId w:val="28"/>
  </w:num>
  <w:num w:numId="13">
    <w:abstractNumId w:val="1"/>
  </w:num>
  <w:num w:numId="14">
    <w:abstractNumId w:val="2"/>
  </w:num>
  <w:num w:numId="15">
    <w:abstractNumId w:val="18"/>
  </w:num>
  <w:num w:numId="16">
    <w:abstractNumId w:val="27"/>
  </w:num>
  <w:num w:numId="17">
    <w:abstractNumId w:val="14"/>
  </w:num>
  <w:num w:numId="18">
    <w:abstractNumId w:val="31"/>
  </w:num>
  <w:num w:numId="19">
    <w:abstractNumId w:val="36"/>
  </w:num>
  <w:num w:numId="20">
    <w:abstractNumId w:val="23"/>
  </w:num>
  <w:num w:numId="21">
    <w:abstractNumId w:val="11"/>
  </w:num>
  <w:num w:numId="22">
    <w:abstractNumId w:val="15"/>
  </w:num>
  <w:num w:numId="23">
    <w:abstractNumId w:val="16"/>
  </w:num>
  <w:num w:numId="24">
    <w:abstractNumId w:val="35"/>
  </w:num>
  <w:num w:numId="25">
    <w:abstractNumId w:val="26"/>
  </w:num>
  <w:num w:numId="26">
    <w:abstractNumId w:val="4"/>
  </w:num>
  <w:num w:numId="27">
    <w:abstractNumId w:val="29"/>
  </w:num>
  <w:num w:numId="28">
    <w:abstractNumId w:val="22"/>
  </w:num>
  <w:num w:numId="29">
    <w:abstractNumId w:val="32"/>
  </w:num>
  <w:num w:numId="30">
    <w:abstractNumId w:val="10"/>
  </w:num>
  <w:num w:numId="31">
    <w:abstractNumId w:val="3"/>
  </w:num>
  <w:num w:numId="32">
    <w:abstractNumId w:val="5"/>
  </w:num>
  <w:num w:numId="33">
    <w:abstractNumId w:val="34"/>
  </w:num>
  <w:num w:numId="34">
    <w:abstractNumId w:val="24"/>
  </w:num>
  <w:num w:numId="35">
    <w:abstractNumId w:val="7"/>
  </w:num>
  <w:num w:numId="36">
    <w:abstractNumId w:val="13"/>
  </w:num>
  <w:num w:numId="37">
    <w:abstractNumId w:val="21"/>
  </w:num>
  <w:num w:numId="38">
    <w:abstractNumId w:val="20"/>
  </w:num>
  <w:num w:numId="39">
    <w:abstractNumId w:val="38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6">
    <w:name w:val="Heading 1"/>
    <w:basedOn w:val="984"/>
    <w:next w:val="984"/>
    <w:link w:val="80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07">
    <w:name w:val="Heading 1 Char"/>
    <w:link w:val="806"/>
    <w:uiPriority w:val="9"/>
    <w:rPr>
      <w:rFonts w:ascii="Arial" w:hAnsi="Arial" w:eastAsia="Arial" w:cs="Arial"/>
      <w:sz w:val="40"/>
      <w:szCs w:val="40"/>
    </w:rPr>
  </w:style>
  <w:style w:type="paragraph" w:styleId="808">
    <w:name w:val="Heading 2"/>
    <w:basedOn w:val="984"/>
    <w:next w:val="984"/>
    <w:link w:val="80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09">
    <w:name w:val="Heading 2 Char"/>
    <w:link w:val="808"/>
    <w:uiPriority w:val="9"/>
    <w:rPr>
      <w:rFonts w:ascii="Arial" w:hAnsi="Arial" w:eastAsia="Arial" w:cs="Arial"/>
      <w:sz w:val="34"/>
    </w:rPr>
  </w:style>
  <w:style w:type="paragraph" w:styleId="810">
    <w:name w:val="Heading 3"/>
    <w:basedOn w:val="984"/>
    <w:next w:val="984"/>
    <w:link w:val="81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11">
    <w:name w:val="Heading 3 Char"/>
    <w:link w:val="810"/>
    <w:uiPriority w:val="9"/>
    <w:rPr>
      <w:rFonts w:ascii="Arial" w:hAnsi="Arial" w:eastAsia="Arial" w:cs="Arial"/>
      <w:sz w:val="30"/>
      <w:szCs w:val="30"/>
    </w:rPr>
  </w:style>
  <w:style w:type="paragraph" w:styleId="812">
    <w:name w:val="Heading 4"/>
    <w:basedOn w:val="984"/>
    <w:next w:val="984"/>
    <w:link w:val="81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13">
    <w:name w:val="Heading 4 Char"/>
    <w:link w:val="812"/>
    <w:uiPriority w:val="9"/>
    <w:rPr>
      <w:rFonts w:ascii="Arial" w:hAnsi="Arial" w:eastAsia="Arial" w:cs="Arial"/>
      <w:b/>
      <w:bCs/>
      <w:sz w:val="26"/>
      <w:szCs w:val="26"/>
    </w:rPr>
  </w:style>
  <w:style w:type="paragraph" w:styleId="814">
    <w:name w:val="Heading 5"/>
    <w:basedOn w:val="984"/>
    <w:next w:val="984"/>
    <w:link w:val="81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15">
    <w:name w:val="Heading 5 Char"/>
    <w:link w:val="814"/>
    <w:uiPriority w:val="9"/>
    <w:rPr>
      <w:rFonts w:ascii="Arial" w:hAnsi="Arial" w:eastAsia="Arial" w:cs="Arial"/>
      <w:b/>
      <w:bCs/>
      <w:sz w:val="24"/>
      <w:szCs w:val="24"/>
    </w:rPr>
  </w:style>
  <w:style w:type="paragraph" w:styleId="816">
    <w:name w:val="Heading 6"/>
    <w:basedOn w:val="984"/>
    <w:next w:val="984"/>
    <w:link w:val="8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7">
    <w:name w:val="Heading 6 Char"/>
    <w:link w:val="816"/>
    <w:uiPriority w:val="9"/>
    <w:rPr>
      <w:rFonts w:ascii="Arial" w:hAnsi="Arial" w:eastAsia="Arial" w:cs="Arial"/>
      <w:b/>
      <w:bCs/>
      <w:sz w:val="22"/>
      <w:szCs w:val="22"/>
    </w:rPr>
  </w:style>
  <w:style w:type="paragraph" w:styleId="818">
    <w:name w:val="Heading 7"/>
    <w:basedOn w:val="984"/>
    <w:next w:val="984"/>
    <w:link w:val="81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9">
    <w:name w:val="Heading 7 Char"/>
    <w:link w:val="8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20">
    <w:name w:val="Heading 8"/>
    <w:basedOn w:val="984"/>
    <w:next w:val="984"/>
    <w:link w:val="82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21">
    <w:name w:val="Heading 8 Char"/>
    <w:link w:val="820"/>
    <w:uiPriority w:val="9"/>
    <w:rPr>
      <w:rFonts w:ascii="Arial" w:hAnsi="Arial" w:eastAsia="Arial" w:cs="Arial"/>
      <w:i/>
      <w:iCs/>
      <w:sz w:val="22"/>
      <w:szCs w:val="22"/>
    </w:rPr>
  </w:style>
  <w:style w:type="paragraph" w:styleId="822">
    <w:name w:val="Heading 9"/>
    <w:basedOn w:val="984"/>
    <w:next w:val="984"/>
    <w:link w:val="82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3">
    <w:name w:val="Heading 9 Char"/>
    <w:link w:val="822"/>
    <w:uiPriority w:val="9"/>
    <w:rPr>
      <w:rFonts w:ascii="Arial" w:hAnsi="Arial" w:eastAsia="Arial" w:cs="Arial"/>
      <w:i/>
      <w:iCs/>
      <w:sz w:val="21"/>
      <w:szCs w:val="21"/>
    </w:rPr>
  </w:style>
  <w:style w:type="paragraph" w:styleId="824">
    <w:name w:val="List Paragraph"/>
    <w:basedOn w:val="984"/>
    <w:uiPriority w:val="34"/>
    <w:qFormat/>
    <w:pPr>
      <w:contextualSpacing/>
      <w:ind w:left="720"/>
    </w:pPr>
  </w:style>
  <w:style w:type="paragraph" w:styleId="825">
    <w:name w:val="No Spacing"/>
    <w:uiPriority w:val="1"/>
    <w:qFormat/>
    <w:pPr>
      <w:spacing w:before="0" w:after="0" w:line="240" w:lineRule="auto"/>
    </w:pPr>
  </w:style>
  <w:style w:type="paragraph" w:styleId="826">
    <w:name w:val="Title"/>
    <w:basedOn w:val="984"/>
    <w:next w:val="984"/>
    <w:link w:val="82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7">
    <w:name w:val="Title Char"/>
    <w:link w:val="826"/>
    <w:uiPriority w:val="10"/>
    <w:rPr>
      <w:sz w:val="48"/>
      <w:szCs w:val="48"/>
    </w:rPr>
  </w:style>
  <w:style w:type="paragraph" w:styleId="828">
    <w:name w:val="Subtitle"/>
    <w:basedOn w:val="984"/>
    <w:next w:val="984"/>
    <w:link w:val="829"/>
    <w:uiPriority w:val="11"/>
    <w:qFormat/>
    <w:pPr>
      <w:spacing w:before="200" w:after="200"/>
    </w:pPr>
    <w:rPr>
      <w:sz w:val="24"/>
      <w:szCs w:val="24"/>
    </w:rPr>
  </w:style>
  <w:style w:type="character" w:styleId="829">
    <w:name w:val="Subtitle Char"/>
    <w:link w:val="828"/>
    <w:uiPriority w:val="11"/>
    <w:rPr>
      <w:sz w:val="24"/>
      <w:szCs w:val="24"/>
    </w:rPr>
  </w:style>
  <w:style w:type="paragraph" w:styleId="830">
    <w:name w:val="Quote"/>
    <w:basedOn w:val="984"/>
    <w:next w:val="984"/>
    <w:link w:val="831"/>
    <w:uiPriority w:val="29"/>
    <w:qFormat/>
    <w:pPr>
      <w:ind w:left="720" w:right="720"/>
    </w:pPr>
    <w:rPr>
      <w:i/>
    </w:rPr>
  </w:style>
  <w:style w:type="character" w:styleId="831">
    <w:name w:val="Quote Char"/>
    <w:link w:val="830"/>
    <w:uiPriority w:val="29"/>
    <w:rPr>
      <w:i/>
    </w:rPr>
  </w:style>
  <w:style w:type="paragraph" w:styleId="832">
    <w:name w:val="Intense Quote"/>
    <w:basedOn w:val="984"/>
    <w:next w:val="984"/>
    <w:link w:val="83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3">
    <w:name w:val="Intense Quote Char"/>
    <w:link w:val="832"/>
    <w:uiPriority w:val="30"/>
    <w:rPr>
      <w:i/>
    </w:rPr>
  </w:style>
  <w:style w:type="paragraph" w:styleId="834">
    <w:name w:val="Header"/>
    <w:basedOn w:val="984"/>
    <w:link w:val="83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5">
    <w:name w:val="Header Char"/>
    <w:link w:val="834"/>
    <w:uiPriority w:val="99"/>
  </w:style>
  <w:style w:type="paragraph" w:styleId="836">
    <w:name w:val="Footer"/>
    <w:basedOn w:val="984"/>
    <w:link w:val="83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7">
    <w:name w:val="Footer Char"/>
    <w:link w:val="836"/>
    <w:uiPriority w:val="99"/>
  </w:style>
  <w:style w:type="paragraph" w:styleId="838">
    <w:name w:val="Caption"/>
    <w:basedOn w:val="984"/>
    <w:next w:val="9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39">
    <w:name w:val="Caption Char"/>
    <w:basedOn w:val="838"/>
    <w:link w:val="836"/>
    <w:uiPriority w:val="99"/>
  </w:style>
  <w:style w:type="table" w:styleId="84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7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7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7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7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7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7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7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8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8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8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8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8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0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0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0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0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1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3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3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3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3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3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3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3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4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4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4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4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4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4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6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6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6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6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6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6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66">
    <w:name w:val="Hyperlink"/>
    <w:uiPriority w:val="99"/>
    <w:unhideWhenUsed/>
    <w:rPr>
      <w:color w:val="0000ff" w:themeColor="hyperlink"/>
      <w:u w:val="single"/>
    </w:rPr>
  </w:style>
  <w:style w:type="paragraph" w:styleId="967">
    <w:name w:val="footnote text"/>
    <w:basedOn w:val="984"/>
    <w:link w:val="968"/>
    <w:uiPriority w:val="99"/>
    <w:semiHidden/>
    <w:unhideWhenUsed/>
    <w:pPr>
      <w:spacing w:after="40" w:line="240" w:lineRule="auto"/>
    </w:pPr>
    <w:rPr>
      <w:sz w:val="18"/>
    </w:rPr>
  </w:style>
  <w:style w:type="character" w:styleId="968">
    <w:name w:val="Footnote Text Char"/>
    <w:link w:val="967"/>
    <w:uiPriority w:val="99"/>
    <w:rPr>
      <w:sz w:val="18"/>
    </w:rPr>
  </w:style>
  <w:style w:type="character" w:styleId="969">
    <w:name w:val="footnote reference"/>
    <w:uiPriority w:val="99"/>
    <w:unhideWhenUsed/>
    <w:rPr>
      <w:vertAlign w:val="superscript"/>
    </w:rPr>
  </w:style>
  <w:style w:type="paragraph" w:styleId="970">
    <w:name w:val="endnote text"/>
    <w:basedOn w:val="984"/>
    <w:link w:val="971"/>
    <w:uiPriority w:val="99"/>
    <w:semiHidden/>
    <w:unhideWhenUsed/>
    <w:pPr>
      <w:spacing w:after="0" w:line="240" w:lineRule="auto"/>
    </w:pPr>
    <w:rPr>
      <w:sz w:val="20"/>
    </w:rPr>
  </w:style>
  <w:style w:type="character" w:styleId="971">
    <w:name w:val="Endnote Text Char"/>
    <w:link w:val="970"/>
    <w:uiPriority w:val="99"/>
    <w:rPr>
      <w:sz w:val="20"/>
    </w:rPr>
  </w:style>
  <w:style w:type="character" w:styleId="972">
    <w:name w:val="endnote reference"/>
    <w:uiPriority w:val="99"/>
    <w:semiHidden/>
    <w:unhideWhenUsed/>
    <w:rPr>
      <w:vertAlign w:val="superscript"/>
    </w:rPr>
  </w:style>
  <w:style w:type="paragraph" w:styleId="973">
    <w:name w:val="toc 1"/>
    <w:basedOn w:val="984"/>
    <w:next w:val="984"/>
    <w:uiPriority w:val="39"/>
    <w:unhideWhenUsed/>
    <w:pPr>
      <w:ind w:left="0" w:right="0" w:firstLine="0"/>
      <w:spacing w:after="57"/>
    </w:pPr>
  </w:style>
  <w:style w:type="paragraph" w:styleId="974">
    <w:name w:val="toc 2"/>
    <w:basedOn w:val="984"/>
    <w:next w:val="984"/>
    <w:uiPriority w:val="39"/>
    <w:unhideWhenUsed/>
    <w:pPr>
      <w:ind w:left="283" w:right="0" w:firstLine="0"/>
      <w:spacing w:after="57"/>
    </w:pPr>
  </w:style>
  <w:style w:type="paragraph" w:styleId="975">
    <w:name w:val="toc 3"/>
    <w:basedOn w:val="984"/>
    <w:next w:val="984"/>
    <w:uiPriority w:val="39"/>
    <w:unhideWhenUsed/>
    <w:pPr>
      <w:ind w:left="567" w:right="0" w:firstLine="0"/>
      <w:spacing w:after="57"/>
    </w:pPr>
  </w:style>
  <w:style w:type="paragraph" w:styleId="976">
    <w:name w:val="toc 4"/>
    <w:basedOn w:val="984"/>
    <w:next w:val="984"/>
    <w:uiPriority w:val="39"/>
    <w:unhideWhenUsed/>
    <w:pPr>
      <w:ind w:left="850" w:right="0" w:firstLine="0"/>
      <w:spacing w:after="57"/>
    </w:pPr>
  </w:style>
  <w:style w:type="paragraph" w:styleId="977">
    <w:name w:val="toc 5"/>
    <w:basedOn w:val="984"/>
    <w:next w:val="984"/>
    <w:uiPriority w:val="39"/>
    <w:unhideWhenUsed/>
    <w:pPr>
      <w:ind w:left="1134" w:right="0" w:firstLine="0"/>
      <w:spacing w:after="57"/>
    </w:pPr>
  </w:style>
  <w:style w:type="paragraph" w:styleId="978">
    <w:name w:val="toc 6"/>
    <w:basedOn w:val="984"/>
    <w:next w:val="984"/>
    <w:uiPriority w:val="39"/>
    <w:unhideWhenUsed/>
    <w:pPr>
      <w:ind w:left="1417" w:right="0" w:firstLine="0"/>
      <w:spacing w:after="57"/>
    </w:pPr>
  </w:style>
  <w:style w:type="paragraph" w:styleId="979">
    <w:name w:val="toc 7"/>
    <w:basedOn w:val="984"/>
    <w:next w:val="984"/>
    <w:uiPriority w:val="39"/>
    <w:unhideWhenUsed/>
    <w:pPr>
      <w:ind w:left="1701" w:right="0" w:firstLine="0"/>
      <w:spacing w:after="57"/>
    </w:pPr>
  </w:style>
  <w:style w:type="paragraph" w:styleId="980">
    <w:name w:val="toc 8"/>
    <w:basedOn w:val="984"/>
    <w:next w:val="984"/>
    <w:uiPriority w:val="39"/>
    <w:unhideWhenUsed/>
    <w:pPr>
      <w:ind w:left="1984" w:right="0" w:firstLine="0"/>
      <w:spacing w:after="57"/>
    </w:pPr>
  </w:style>
  <w:style w:type="paragraph" w:styleId="981">
    <w:name w:val="toc 9"/>
    <w:basedOn w:val="984"/>
    <w:next w:val="984"/>
    <w:uiPriority w:val="39"/>
    <w:unhideWhenUsed/>
    <w:pPr>
      <w:ind w:left="2268" w:right="0" w:firstLine="0"/>
      <w:spacing w:after="57"/>
    </w:pPr>
  </w:style>
  <w:style w:type="paragraph" w:styleId="982">
    <w:name w:val="TOC Heading"/>
    <w:uiPriority w:val="39"/>
    <w:unhideWhenUsed/>
  </w:style>
  <w:style w:type="paragraph" w:styleId="983">
    <w:name w:val="table of figures"/>
    <w:basedOn w:val="984"/>
    <w:next w:val="984"/>
    <w:uiPriority w:val="99"/>
    <w:unhideWhenUsed/>
    <w:pPr>
      <w:spacing w:after="0" w:afterAutospacing="0"/>
    </w:pPr>
  </w:style>
  <w:style w:type="paragraph" w:styleId="984" w:default="1">
    <w:name w:val="Normal"/>
    <w:next w:val="984"/>
    <w:link w:val="984"/>
    <w:qFormat/>
    <w:rPr>
      <w:sz w:val="24"/>
      <w:szCs w:val="24"/>
      <w:lang w:val="ru-RU" w:eastAsia="ru-RU" w:bidi="ar-SA"/>
    </w:rPr>
  </w:style>
  <w:style w:type="paragraph" w:styleId="985">
    <w:name w:val="Заголовок 1,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984"/>
    <w:next w:val="984"/>
    <w:link w:val="1012"/>
    <w:qFormat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/>
      <w:b/>
      <w:sz w:val="40"/>
      <w:lang w:val="en-US" w:eastAsia="en-US"/>
    </w:rPr>
  </w:style>
  <w:style w:type="paragraph" w:styleId="986">
    <w:name w:val="Заголовок 2,Заголовок 2 Знак,H2,H2 Знак,Заголовок 21,2,h2,Б2,RTC,iz2,Заголовок 2 Знак1,Numbered text 3,HD2,heading 2,Heading 2 Hidden,Раздел Знак,Заголовок 2 Знак Знак,Level 2 Topic Heading,H21,Major,CHS,H2-Heading 2,l2,Header2,22,heading2,list2,A,A.B.C."/>
    <w:basedOn w:val="984"/>
    <w:next w:val="984"/>
    <w:link w:val="984"/>
    <w:qFormat/>
    <w:pPr>
      <w:jc w:val="both"/>
      <w:keepNext/>
      <w:outlineLvl w:val="1"/>
    </w:pPr>
    <w:rPr>
      <w:sz w:val="24"/>
    </w:rPr>
  </w:style>
  <w:style w:type="paragraph" w:styleId="987">
    <w:name w:val="Заголовок 3"/>
    <w:basedOn w:val="984"/>
    <w:next w:val="984"/>
    <w:link w:val="1026"/>
    <w:semiHidden/>
    <w:unhideWhenUsed/>
    <w:qFormat/>
    <w:pPr>
      <w:keepNext/>
      <w:spacing w:before="240" w:after="60"/>
      <w:outlineLvl w:val="2"/>
    </w:pPr>
    <w:rPr>
      <w:rFonts w:ascii="Cambria" w:hAnsi="Cambria" w:eastAsia="Times New Roman" w:cs="Times New Roman"/>
      <w:b/>
      <w:bCs/>
      <w:sz w:val="26"/>
      <w:szCs w:val="26"/>
    </w:rPr>
  </w:style>
  <w:style w:type="paragraph" w:styleId="988">
    <w:name w:val="Заголовок 5"/>
    <w:basedOn w:val="984"/>
    <w:next w:val="984"/>
    <w:link w:val="984"/>
    <w:qFormat/>
    <w:pPr>
      <w:keepNext/>
      <w:outlineLvl w:val="4"/>
    </w:pPr>
    <w:rPr>
      <w:rFonts w:ascii="Times New Roman" w:hAnsi="Times New Roman"/>
      <w:b/>
      <w:bCs/>
      <w:sz w:val="24"/>
    </w:rPr>
  </w:style>
  <w:style w:type="paragraph" w:styleId="989">
    <w:name w:val="Заголовок 9"/>
    <w:basedOn w:val="984"/>
    <w:next w:val="984"/>
    <w:link w:val="1025"/>
    <w:qFormat/>
    <w:pPr>
      <w:jc w:val="center"/>
      <w:keepNext/>
      <w:outlineLvl w:val="8"/>
    </w:pPr>
    <w:rPr>
      <w:rFonts w:ascii="Times New Roman" w:hAnsi="Times New Roman"/>
      <w:sz w:val="24"/>
    </w:rPr>
  </w:style>
  <w:style w:type="character" w:styleId="990">
    <w:name w:val="Основной шрифт абзаца"/>
    <w:next w:val="990"/>
    <w:link w:val="984"/>
    <w:semiHidden/>
  </w:style>
  <w:style w:type="table" w:styleId="991">
    <w:name w:val="Обычная таблица"/>
    <w:next w:val="991"/>
    <w:link w:val="984"/>
    <w:semiHidden/>
    <w:tblPr/>
  </w:style>
  <w:style w:type="numbering" w:styleId="992">
    <w:name w:val="Нет списка"/>
    <w:next w:val="992"/>
    <w:link w:val="984"/>
    <w:uiPriority w:val="99"/>
    <w:semiHidden/>
  </w:style>
  <w:style w:type="character" w:styleId="993">
    <w:name w:val="Гиперссылка"/>
    <w:next w:val="993"/>
    <w:link w:val="984"/>
    <w:uiPriority w:val="99"/>
    <w:rPr>
      <w:color w:val="0000ff"/>
      <w:u w:val="single"/>
    </w:rPr>
  </w:style>
  <w:style w:type="paragraph" w:styleId="994">
    <w:name w:val="Верхний колонтитул"/>
    <w:basedOn w:val="984"/>
    <w:next w:val="994"/>
    <w:link w:val="1005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paragraph" w:styleId="995">
    <w:name w:val="Нижний колонтитул"/>
    <w:basedOn w:val="984"/>
    <w:next w:val="995"/>
    <w:link w:val="1002"/>
    <w:uiPriority w:val="99"/>
    <w:pPr>
      <w:tabs>
        <w:tab w:val="center" w:pos="4677" w:leader="none"/>
        <w:tab w:val="right" w:pos="9355" w:leader="none"/>
      </w:tabs>
    </w:pPr>
  </w:style>
  <w:style w:type="paragraph" w:styleId="996">
    <w:name w:val="Текст выноски"/>
    <w:basedOn w:val="984"/>
    <w:next w:val="996"/>
    <w:link w:val="1009"/>
    <w:semiHidden/>
    <w:rPr>
      <w:rFonts w:ascii="Tahoma" w:hAnsi="Tahoma"/>
      <w:sz w:val="16"/>
      <w:szCs w:val="16"/>
      <w:lang w:val="en-US" w:eastAsia="en-US"/>
    </w:rPr>
  </w:style>
  <w:style w:type="paragraph" w:styleId="997">
    <w:name w:val="Основной текст,Основной текст таблиц,в таблице,таблицы,в таблицах, в таблице, в таблицах"/>
    <w:basedOn w:val="984"/>
    <w:next w:val="997"/>
    <w:link w:val="1023"/>
    <w:pPr>
      <w:ind w:right="4961"/>
      <w:tabs>
        <w:tab w:val="left" w:pos="4536" w:leader="none"/>
      </w:tabs>
    </w:pPr>
    <w:rPr>
      <w:sz w:val="24"/>
    </w:rPr>
  </w:style>
  <w:style w:type="paragraph" w:styleId="998">
    <w:name w:val="Normal1"/>
    <w:next w:val="998"/>
    <w:link w:val="984"/>
    <w:pPr>
      <w:spacing w:before="100" w:after="100"/>
    </w:pPr>
    <w:rPr>
      <w:sz w:val="24"/>
      <w:lang w:val="ru-RU" w:eastAsia="ru-RU" w:bidi="ar-SA"/>
    </w:rPr>
  </w:style>
  <w:style w:type="paragraph" w:styleId="999">
    <w:name w:val="Нумерованный список"/>
    <w:basedOn w:val="984"/>
    <w:next w:val="999"/>
    <w:link w:val="984"/>
    <w:pPr>
      <w:jc w:val="both"/>
      <w:spacing w:before="60" w:line="360" w:lineRule="auto"/>
    </w:pPr>
    <w:rPr>
      <w:rFonts w:ascii="Times New Roman" w:hAnsi="Times New Roman"/>
      <w:sz w:val="28"/>
      <w:szCs w:val="24"/>
    </w:rPr>
  </w:style>
  <w:style w:type="paragraph" w:styleId="1000">
    <w:name w:val="Пункт"/>
    <w:basedOn w:val="984"/>
    <w:next w:val="1000"/>
    <w:link w:val="1001"/>
    <w:pPr>
      <w:ind w:left="1134" w:hanging="1134"/>
      <w:jc w:val="both"/>
      <w:spacing w:line="360" w:lineRule="auto"/>
      <w:tabs>
        <w:tab w:val="num" w:pos="1134" w:leader="none"/>
      </w:tabs>
    </w:pPr>
    <w:rPr>
      <w:rFonts w:ascii="Times New Roman" w:hAnsi="Times New Roman"/>
      <w:sz w:val="28"/>
    </w:rPr>
  </w:style>
  <w:style w:type="character" w:styleId="1001">
    <w:name w:val="Пункт Знак1"/>
    <w:next w:val="1001"/>
    <w:link w:val="1000"/>
    <w:rPr>
      <w:sz w:val="28"/>
      <w:lang w:val="ru-RU" w:eastAsia="ru-RU" w:bidi="ar-SA"/>
    </w:rPr>
  </w:style>
  <w:style w:type="character" w:styleId="1002">
    <w:name w:val="Нижний колонтитул Знак"/>
    <w:next w:val="1002"/>
    <w:link w:val="995"/>
    <w:uiPriority w:val="99"/>
    <w:rPr>
      <w:rFonts w:ascii="Times New Roman CYR" w:hAnsi="Times New Roman CYR"/>
      <w:lang w:val="ru-RU" w:eastAsia="ru-RU" w:bidi="ar-SA"/>
    </w:rPr>
  </w:style>
  <w:style w:type="paragraph" w:styleId="1003">
    <w:name w:val="Стиль Основной текст с отступом + 12 пт По ширине Слева:  0 см П..."/>
    <w:basedOn w:val="1004"/>
    <w:next w:val="1003"/>
    <w:link w:val="984"/>
    <w:pPr>
      <w:ind w:left="0" w:firstLine="567"/>
      <w:jc w:val="both"/>
      <w:spacing w:after="0"/>
    </w:pPr>
    <w:rPr>
      <w:rFonts w:ascii="Times New Roman" w:hAnsi="Times New Roman"/>
      <w:sz w:val="24"/>
    </w:rPr>
  </w:style>
  <w:style w:type="paragraph" w:styleId="1004">
    <w:name w:val="Основной текст с отступом"/>
    <w:basedOn w:val="984"/>
    <w:next w:val="1004"/>
    <w:link w:val="1016"/>
    <w:pPr>
      <w:ind w:left="283"/>
      <w:spacing w:after="120"/>
    </w:pPr>
    <w:rPr>
      <w:lang w:val="en-US" w:eastAsia="en-US"/>
    </w:rPr>
  </w:style>
  <w:style w:type="character" w:styleId="1005">
    <w:name w:val="Верхний колонтитул Знак"/>
    <w:next w:val="1005"/>
    <w:link w:val="994"/>
    <w:uiPriority w:val="99"/>
    <w:rPr>
      <w:rFonts w:ascii="Times New Roman CYR" w:hAnsi="Times New Roman CYR"/>
    </w:rPr>
  </w:style>
  <w:style w:type="character" w:styleId="1006">
    <w:name w:val="комментарий"/>
    <w:next w:val="1006"/>
    <w:link w:val="984"/>
    <w:rPr>
      <w:b/>
      <w:i/>
      <w:shd w:val="clear" w:color="auto" w:fill="ffff99"/>
    </w:rPr>
  </w:style>
  <w:style w:type="paragraph" w:styleId="1007">
    <w:name w:val="Название"/>
    <w:basedOn w:val="984"/>
    <w:next w:val="1007"/>
    <w:link w:val="1008"/>
    <w:qFormat/>
    <w:pPr>
      <w:jc w:val="center"/>
    </w:pPr>
    <w:rPr>
      <w:rFonts w:ascii="Times New Roman" w:hAnsi="Times New Roman"/>
      <w:b/>
      <w:sz w:val="22"/>
      <w:lang w:val="en-US" w:eastAsia="en-US"/>
    </w:rPr>
  </w:style>
  <w:style w:type="character" w:styleId="1008">
    <w:name w:val="Название Знак"/>
    <w:next w:val="1008"/>
    <w:link w:val="1007"/>
    <w:rPr>
      <w:b/>
      <w:sz w:val="22"/>
    </w:rPr>
  </w:style>
  <w:style w:type="character" w:styleId="1009">
    <w:name w:val="Текст выноски Знак"/>
    <w:next w:val="1009"/>
    <w:link w:val="996"/>
    <w:semiHidden/>
    <w:rPr>
      <w:rFonts w:ascii="Tahoma" w:hAnsi="Tahoma" w:cs="Tahoma"/>
      <w:sz w:val="16"/>
      <w:szCs w:val="16"/>
    </w:rPr>
  </w:style>
  <w:style w:type="paragraph" w:styleId="1010">
    <w:name w:val="Обычный2"/>
    <w:next w:val="1010"/>
    <w:link w:val="984"/>
    <w:pPr>
      <w:spacing w:before="100" w:after="100"/>
    </w:pPr>
    <w:rPr>
      <w:sz w:val="24"/>
      <w:lang w:val="ru-RU" w:eastAsia="ru-RU" w:bidi="ar-SA"/>
    </w:rPr>
  </w:style>
  <w:style w:type="character" w:styleId="1011">
    <w:name w:val="Строгий,0 Текст,0-текст,Заголовок  1"/>
    <w:next w:val="1011"/>
    <w:link w:val="984"/>
    <w:uiPriority w:val="22"/>
    <w:qFormat/>
    <w:rPr>
      <w:b/>
      <w:bCs/>
    </w:rPr>
  </w:style>
  <w:style w:type="character" w:styleId="1012">
    <w:name w:val="Заголовок 1 Знак"/>
    <w:next w:val="1012"/>
    <w:link w:val="985"/>
    <w:rPr>
      <w:rFonts w:ascii="Arial" w:hAnsi="Arial"/>
      <w:b/>
      <w:sz w:val="40"/>
    </w:rPr>
  </w:style>
  <w:style w:type="paragraph" w:styleId="1013">
    <w:name w:val="Подпункт"/>
    <w:basedOn w:val="1000"/>
    <w:next w:val="1013"/>
    <w:link w:val="984"/>
    <w:pPr>
      <w:ind w:left="1276"/>
      <w:tabs>
        <w:tab w:val="clear" w:pos="1134" w:leader="none"/>
        <w:tab w:val="num" w:pos="1276" w:leader="none"/>
      </w:tabs>
    </w:pPr>
    <w:rPr>
      <w:lang w:val="en-US" w:eastAsia="en-US"/>
    </w:rPr>
  </w:style>
  <w:style w:type="paragraph" w:styleId="1014">
    <w:name w:val="Подподпункт"/>
    <w:basedOn w:val="1013"/>
    <w:next w:val="1014"/>
    <w:link w:val="1015"/>
    <w:pPr>
      <w:ind w:left="1702" w:hanging="567"/>
      <w:tabs>
        <w:tab w:val="clear" w:pos="1276" w:leader="none"/>
        <w:tab w:val="num" w:pos="1702" w:leader="none"/>
      </w:tabs>
    </w:pPr>
  </w:style>
  <w:style w:type="character" w:styleId="1015">
    <w:name w:val="Подподпункт Знак"/>
    <w:next w:val="1015"/>
    <w:link w:val="1014"/>
    <w:rPr>
      <w:sz w:val="28"/>
      <w:lang w:val="en-US" w:eastAsia="en-US"/>
    </w:rPr>
  </w:style>
  <w:style w:type="character" w:styleId="1016">
    <w:name w:val="Основной текст с отступом Знак"/>
    <w:next w:val="1016"/>
    <w:link w:val="1004"/>
    <w:rPr>
      <w:rFonts w:ascii="Times New Roman CYR" w:hAnsi="Times New Roman CYR"/>
    </w:rPr>
  </w:style>
  <w:style w:type="paragraph" w:styleId="1017">
    <w:name w:val="Абзац списка,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984"/>
    <w:next w:val="1017"/>
    <w:link w:val="1027"/>
    <w:qFormat/>
    <w:pPr>
      <w:contextualSpacing/>
      <w:ind w:left="720"/>
    </w:pPr>
  </w:style>
  <w:style w:type="table" w:styleId="1018">
    <w:name w:val="Сетка таблицы"/>
    <w:basedOn w:val="991"/>
    <w:next w:val="1018"/>
    <w:link w:val="984"/>
    <w:uiPriority w:val="59"/>
    <w:tblPr/>
  </w:style>
  <w:style w:type="character" w:styleId="1019">
    <w:name w:val="Основной текст_"/>
    <w:next w:val="1019"/>
    <w:link w:val="1020"/>
    <w:rPr>
      <w:sz w:val="18"/>
      <w:szCs w:val="18"/>
      <w:shd w:val="clear" w:color="auto" w:fill="ffffff"/>
    </w:rPr>
  </w:style>
  <w:style w:type="paragraph" w:styleId="1020">
    <w:name w:val="Основной текст2"/>
    <w:basedOn w:val="984"/>
    <w:next w:val="1020"/>
    <w:link w:val="1019"/>
    <w:pPr>
      <w:ind w:firstLine="2280"/>
      <w:spacing w:after="240" w:line="235" w:lineRule="exact"/>
      <w:shd w:val="clear" w:color="auto" w:fill="ffffff"/>
      <w:widowControl w:val="off"/>
    </w:pPr>
    <w:rPr>
      <w:rFonts w:ascii="Times New Roman" w:hAnsi="Times New Roman"/>
      <w:sz w:val="18"/>
      <w:szCs w:val="18"/>
    </w:rPr>
  </w:style>
  <w:style w:type="paragraph" w:styleId="1021">
    <w:name w:val="Основной текст с отступом 2"/>
    <w:basedOn w:val="984"/>
    <w:next w:val="1021"/>
    <w:link w:val="1022"/>
    <w:pPr>
      <w:ind w:left="283"/>
      <w:spacing w:after="120" w:line="480" w:lineRule="auto"/>
    </w:pPr>
  </w:style>
  <w:style w:type="character" w:styleId="1022">
    <w:name w:val="Основной текст с отступом 2 Знак"/>
    <w:next w:val="1022"/>
    <w:link w:val="1021"/>
    <w:rPr>
      <w:rFonts w:ascii="Times New Roman CYR" w:hAnsi="Times New Roman CYR"/>
    </w:rPr>
  </w:style>
  <w:style w:type="character" w:styleId="1023">
    <w:name w:val="Основной текст Знак,Основной текст таблиц Знак,в таблице Знак,таблицы Знак,в таблицах Знак, в таблице Знак, в таблицах Знак"/>
    <w:next w:val="1023"/>
    <w:link w:val="997"/>
    <w:rPr>
      <w:rFonts w:ascii="Times New Roman CYR" w:hAnsi="Times New Roman CYR"/>
      <w:sz w:val="24"/>
    </w:rPr>
  </w:style>
  <w:style w:type="paragraph" w:styleId="1024">
    <w:name w:val="FTN_таб"/>
    <w:basedOn w:val="984"/>
    <w:next w:val="1024"/>
    <w:link w:val="984"/>
    <w:pPr>
      <w:jc w:val="both"/>
      <w:widowControl w:val="off"/>
      <w:tabs>
        <w:tab w:val="left" w:pos="709" w:leader="none"/>
      </w:tabs>
    </w:pPr>
    <w:rPr>
      <w:rFonts w:eastAsia="Arial Unicode MS"/>
      <w:sz w:val="22"/>
    </w:rPr>
  </w:style>
  <w:style w:type="character" w:styleId="1025">
    <w:name w:val="Заголовок 9 Знак"/>
    <w:next w:val="1025"/>
    <w:link w:val="989"/>
    <w:rPr>
      <w:sz w:val="24"/>
      <w:szCs w:val="24"/>
    </w:rPr>
  </w:style>
  <w:style w:type="character" w:styleId="1026">
    <w:name w:val="Заголовок 3 Знак"/>
    <w:next w:val="1026"/>
    <w:link w:val="987"/>
    <w:semiHidden/>
    <w:rPr>
      <w:rFonts w:ascii="Cambria" w:hAnsi="Cambria" w:eastAsia="Times New Roman" w:cs="Times New Roman"/>
      <w:b/>
      <w:bCs/>
      <w:sz w:val="26"/>
      <w:szCs w:val="26"/>
    </w:rPr>
  </w:style>
  <w:style w:type="character" w:styleId="1027">
    <w:name w:val="Абзац списка Знак,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next w:val="1027"/>
    <w:link w:val="1017"/>
    <w:uiPriority w:val="34"/>
    <w:qFormat/>
    <w:rPr>
      <w:sz w:val="24"/>
      <w:szCs w:val="24"/>
    </w:rPr>
  </w:style>
  <w:style w:type="character" w:styleId="1028">
    <w:name w:val="Просмотренная гиперссылка"/>
    <w:next w:val="1028"/>
    <w:link w:val="984"/>
    <w:uiPriority w:val="99"/>
    <w:unhideWhenUsed/>
    <w:rPr>
      <w:color w:val="954f72"/>
      <w:u w:val="single"/>
    </w:rPr>
  </w:style>
  <w:style w:type="paragraph" w:styleId="1029">
    <w:name w:val="msonormal"/>
    <w:basedOn w:val="984"/>
    <w:next w:val="1029"/>
    <w:link w:val="984"/>
    <w:pPr>
      <w:spacing w:before="100" w:beforeAutospacing="1" w:after="100" w:afterAutospacing="1"/>
    </w:pPr>
  </w:style>
  <w:style w:type="paragraph" w:styleId="1030">
    <w:name w:val="xl63"/>
    <w:basedOn w:val="984"/>
    <w:next w:val="1030"/>
    <w:link w:val="984"/>
    <w:pPr>
      <w:jc w:val="center"/>
      <w:spacing w:before="100" w:beforeAutospacing="1" w:after="100" w:afterAutospacing="1"/>
    </w:pPr>
    <w:rPr>
      <w:sz w:val="40"/>
      <w:szCs w:val="40"/>
    </w:rPr>
  </w:style>
  <w:style w:type="paragraph" w:styleId="1031">
    <w:name w:val="xl64"/>
    <w:basedOn w:val="984"/>
    <w:next w:val="1031"/>
    <w:link w:val="984"/>
    <w:pPr>
      <w:spacing w:before="100" w:beforeAutospacing="1" w:after="100" w:afterAutospacing="1"/>
    </w:pPr>
    <w:rPr>
      <w:sz w:val="40"/>
      <w:szCs w:val="40"/>
    </w:rPr>
  </w:style>
  <w:style w:type="paragraph" w:styleId="1032">
    <w:name w:val="xl65"/>
    <w:basedOn w:val="984"/>
    <w:next w:val="1032"/>
    <w:link w:val="984"/>
    <w:pPr>
      <w:spacing w:before="100" w:beforeAutospacing="1" w:after="100" w:afterAutospacing="1"/>
      <w:pBdr>
        <w:left w:val="single" w:color="000000" w:sz="8" w:space="0"/>
        <w:right w:val="single" w:color="000000" w:sz="4" w:space="0"/>
      </w:pBdr>
    </w:pPr>
    <w:rPr>
      <w:sz w:val="40"/>
      <w:szCs w:val="40"/>
    </w:rPr>
  </w:style>
  <w:style w:type="paragraph" w:styleId="1033">
    <w:name w:val="xl66"/>
    <w:basedOn w:val="984"/>
    <w:next w:val="1033"/>
    <w:link w:val="984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34">
    <w:name w:val="xl67"/>
    <w:basedOn w:val="984"/>
    <w:next w:val="1034"/>
    <w:link w:val="984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8" w:space="0"/>
      </w:pBdr>
    </w:pPr>
    <w:rPr>
      <w:sz w:val="40"/>
      <w:szCs w:val="40"/>
    </w:rPr>
  </w:style>
  <w:style w:type="paragraph" w:styleId="1035">
    <w:name w:val="xl68"/>
    <w:basedOn w:val="984"/>
    <w:next w:val="1035"/>
    <w:link w:val="984"/>
    <w:pPr>
      <w:jc w:val="center"/>
      <w:spacing w:before="100" w:beforeAutospacing="1" w:after="100" w:afterAutospacing="1"/>
      <w:shd w:val="clear" w:color="000000" w:fill="ffff00"/>
      <w:pBdr>
        <w:right w:val="single" w:color="000000" w:sz="4" w:space="0"/>
      </w:pBdr>
    </w:pPr>
    <w:rPr>
      <w:b/>
      <w:bCs/>
      <w:sz w:val="40"/>
      <w:szCs w:val="40"/>
    </w:rPr>
  </w:style>
  <w:style w:type="paragraph" w:styleId="1036">
    <w:name w:val="xl69"/>
    <w:basedOn w:val="984"/>
    <w:next w:val="1036"/>
    <w:link w:val="984"/>
    <w:pPr>
      <w:jc w:val="center"/>
      <w:spacing w:before="100" w:beforeAutospacing="1" w:after="100" w:afterAutospacing="1"/>
      <w:shd w:val="clear" w:color="000000" w:fill="ffff00"/>
      <w:pBdr>
        <w:left w:val="single" w:color="000000" w:sz="4" w:space="0"/>
        <w:right w:val="single" w:color="000000" w:sz="4" w:space="0"/>
      </w:pBdr>
    </w:pPr>
    <w:rPr>
      <w:b/>
      <w:bCs/>
      <w:sz w:val="40"/>
      <w:szCs w:val="40"/>
    </w:rPr>
  </w:style>
  <w:style w:type="paragraph" w:styleId="1037">
    <w:name w:val="xl70"/>
    <w:basedOn w:val="984"/>
    <w:next w:val="1037"/>
    <w:link w:val="984"/>
    <w:pPr>
      <w:jc w:val="center"/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38">
    <w:name w:val="xl71"/>
    <w:basedOn w:val="984"/>
    <w:next w:val="1038"/>
    <w:link w:val="984"/>
    <w:pPr>
      <w:jc w:val="center"/>
      <w:spacing w:before="100" w:beforeAutospacing="1" w:after="100" w:afterAutospacing="1"/>
      <w:pBdr>
        <w:top w:val="single" w:color="000000" w:sz="8" w:space="0"/>
        <w:right w:val="single" w:color="000000" w:sz="4" w:space="0"/>
      </w:pBdr>
    </w:pPr>
    <w:rPr>
      <w:sz w:val="40"/>
      <w:szCs w:val="40"/>
    </w:rPr>
  </w:style>
  <w:style w:type="paragraph" w:styleId="1039">
    <w:name w:val="xl72"/>
    <w:basedOn w:val="984"/>
    <w:next w:val="1039"/>
    <w:link w:val="984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0">
    <w:name w:val="xl73"/>
    <w:basedOn w:val="984"/>
    <w:next w:val="1040"/>
    <w:link w:val="984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1">
    <w:name w:val="xl74"/>
    <w:basedOn w:val="984"/>
    <w:next w:val="1041"/>
    <w:link w:val="984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2">
    <w:name w:val="xl75"/>
    <w:basedOn w:val="984"/>
    <w:next w:val="1042"/>
    <w:link w:val="984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3">
    <w:name w:val="xl76"/>
    <w:basedOn w:val="984"/>
    <w:next w:val="1043"/>
    <w:link w:val="984"/>
    <w:pPr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4">
    <w:name w:val="xl77"/>
    <w:basedOn w:val="984"/>
    <w:next w:val="1044"/>
    <w:link w:val="984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sz w:val="40"/>
      <w:szCs w:val="40"/>
    </w:rPr>
  </w:style>
  <w:style w:type="paragraph" w:styleId="1045">
    <w:name w:val="xl78"/>
    <w:basedOn w:val="984"/>
    <w:next w:val="1045"/>
    <w:link w:val="984"/>
    <w:pPr>
      <w:spacing w:before="100" w:beforeAutospacing="1" w:after="100" w:afterAutospacing="1"/>
      <w:shd w:val="clear" w:color="000000" w:fill="ddebf7"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6">
    <w:name w:val="xl79"/>
    <w:basedOn w:val="984"/>
    <w:next w:val="1046"/>
    <w:link w:val="984"/>
    <w:pPr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7">
    <w:name w:val="xl80"/>
    <w:basedOn w:val="984"/>
    <w:next w:val="1047"/>
    <w:link w:val="984"/>
    <w:pPr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8">
    <w:name w:val="xl81"/>
    <w:basedOn w:val="984"/>
    <w:next w:val="1048"/>
    <w:link w:val="984"/>
    <w:pPr>
      <w:spacing w:before="100" w:beforeAutospacing="1" w:after="100" w:afterAutospacing="1"/>
      <w:shd w:val="clear" w:color="000000" w:fill="e2efda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49">
    <w:name w:val="xl82"/>
    <w:basedOn w:val="984"/>
    <w:next w:val="1049"/>
    <w:link w:val="984"/>
    <w:pPr>
      <w:spacing w:before="100" w:beforeAutospacing="1" w:after="100" w:afterAutospacing="1"/>
      <w:shd w:val="clear" w:color="000000" w:fill="e2efda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50">
    <w:name w:val="xl83"/>
    <w:basedOn w:val="984"/>
    <w:next w:val="1050"/>
    <w:link w:val="984"/>
    <w:pPr>
      <w:spacing w:before="100" w:beforeAutospacing="1" w:after="100" w:afterAutospacing="1"/>
      <w:shd w:val="clear" w:color="000000" w:fill="e2efda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51">
    <w:name w:val="xl84"/>
    <w:basedOn w:val="984"/>
    <w:next w:val="1051"/>
    <w:link w:val="984"/>
    <w:pPr>
      <w:spacing w:before="100" w:beforeAutospacing="1" w:after="100" w:afterAutospacing="1"/>
    </w:pPr>
    <w:rPr>
      <w:sz w:val="48"/>
      <w:szCs w:val="48"/>
    </w:rPr>
  </w:style>
  <w:style w:type="paragraph" w:styleId="1052">
    <w:name w:val="xl85"/>
    <w:basedOn w:val="984"/>
    <w:next w:val="1052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53">
    <w:name w:val="xl86"/>
    <w:basedOn w:val="984"/>
    <w:next w:val="1053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b/>
      <w:bCs/>
      <w:sz w:val="48"/>
      <w:szCs w:val="48"/>
    </w:rPr>
  </w:style>
  <w:style w:type="paragraph" w:styleId="1054">
    <w:name w:val="xl87"/>
    <w:basedOn w:val="984"/>
    <w:next w:val="1054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55">
    <w:name w:val="xl88"/>
    <w:basedOn w:val="984"/>
    <w:next w:val="1055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56">
    <w:name w:val="xl89"/>
    <w:basedOn w:val="984"/>
    <w:next w:val="1056"/>
    <w:link w:val="984"/>
    <w:pPr>
      <w:spacing w:before="100" w:beforeAutospacing="1" w:after="100" w:afterAutospacing="1"/>
    </w:pPr>
    <w:rPr>
      <w:b/>
      <w:bCs/>
      <w:sz w:val="48"/>
      <w:szCs w:val="48"/>
    </w:rPr>
  </w:style>
  <w:style w:type="paragraph" w:styleId="1057">
    <w:name w:val="xl90"/>
    <w:basedOn w:val="984"/>
    <w:next w:val="1057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58">
    <w:name w:val="xl91"/>
    <w:basedOn w:val="984"/>
    <w:next w:val="1058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b/>
      <w:bCs/>
      <w:sz w:val="48"/>
      <w:szCs w:val="48"/>
    </w:rPr>
  </w:style>
  <w:style w:type="paragraph" w:styleId="1059">
    <w:name w:val="xl92"/>
    <w:basedOn w:val="984"/>
    <w:next w:val="1059"/>
    <w:link w:val="984"/>
    <w:pPr>
      <w:jc w:val="center"/>
      <w:spacing w:before="100" w:beforeAutospacing="1" w:after="100" w:afterAutospacing="1"/>
      <w:shd w:val="clear" w:color="000000" w:fill="ffd966"/>
      <w:pBdr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60">
    <w:name w:val="xl93"/>
    <w:basedOn w:val="984"/>
    <w:next w:val="1060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61">
    <w:name w:val="xl94"/>
    <w:basedOn w:val="984"/>
    <w:next w:val="1061"/>
    <w:link w:val="984"/>
    <w:pPr>
      <w:spacing w:before="100" w:beforeAutospacing="1" w:after="100" w:afterAutospacing="1"/>
    </w:pPr>
    <w:rPr>
      <w:sz w:val="48"/>
      <w:szCs w:val="48"/>
    </w:rPr>
  </w:style>
  <w:style w:type="paragraph" w:styleId="1062">
    <w:name w:val="xl95"/>
    <w:basedOn w:val="984"/>
    <w:next w:val="1062"/>
    <w:link w:val="984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63">
    <w:name w:val="xl96"/>
    <w:basedOn w:val="984"/>
    <w:next w:val="1063"/>
    <w:link w:val="984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8" w:space="0"/>
        <w:right w:val="single" w:color="000000" w:sz="8" w:space="0"/>
      </w:pBdr>
    </w:pPr>
    <w:rPr>
      <w:b/>
      <w:bCs/>
      <w:sz w:val="48"/>
      <w:szCs w:val="48"/>
    </w:rPr>
  </w:style>
  <w:style w:type="paragraph" w:styleId="1064">
    <w:name w:val="xl97"/>
    <w:basedOn w:val="984"/>
    <w:next w:val="1064"/>
    <w:link w:val="984"/>
    <w:pPr>
      <w:jc w:val="center"/>
      <w:spacing w:before="100" w:beforeAutospacing="1" w:after="100" w:afterAutospacing="1"/>
      <w:shd w:val="clear" w:color="000000" w:fill="ffff00"/>
      <w:pBdr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65">
    <w:name w:val="xl98"/>
    <w:basedOn w:val="984"/>
    <w:next w:val="1065"/>
    <w:link w:val="984"/>
    <w:pPr>
      <w:jc w:val="center"/>
      <w:spacing w:before="100" w:beforeAutospacing="1" w:after="100" w:afterAutospacing="1"/>
      <w:shd w:val="clear" w:color="000000" w:fill="ffff00"/>
      <w:pBdr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66">
    <w:name w:val="xl99"/>
    <w:basedOn w:val="984"/>
    <w:next w:val="1066"/>
    <w:link w:val="984"/>
    <w:pPr>
      <w:spacing w:before="100" w:beforeAutospacing="1" w:after="100" w:afterAutospacing="1"/>
    </w:pPr>
    <w:rPr>
      <w:b/>
      <w:bCs/>
      <w:sz w:val="48"/>
      <w:szCs w:val="48"/>
    </w:rPr>
  </w:style>
  <w:style w:type="paragraph" w:styleId="1067">
    <w:name w:val="xl100"/>
    <w:basedOn w:val="984"/>
    <w:next w:val="1067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sz w:val="48"/>
      <w:szCs w:val="48"/>
    </w:rPr>
  </w:style>
  <w:style w:type="paragraph" w:styleId="1068">
    <w:name w:val="xl101"/>
    <w:basedOn w:val="984"/>
    <w:next w:val="1068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sz w:val="48"/>
      <w:szCs w:val="48"/>
    </w:rPr>
  </w:style>
  <w:style w:type="paragraph" w:styleId="1069">
    <w:name w:val="xl102"/>
    <w:basedOn w:val="984"/>
    <w:next w:val="1069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sz w:val="48"/>
      <w:szCs w:val="48"/>
    </w:rPr>
  </w:style>
  <w:style w:type="paragraph" w:styleId="1070">
    <w:name w:val="xl103"/>
    <w:basedOn w:val="984"/>
    <w:next w:val="1070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71">
    <w:name w:val="xl104"/>
    <w:basedOn w:val="984"/>
    <w:next w:val="1071"/>
    <w:link w:val="984"/>
    <w:pPr>
      <w:jc w:val="center"/>
      <w:spacing w:before="100" w:beforeAutospacing="1" w:after="100" w:afterAutospacing="1"/>
      <w:shd w:val="clear" w:color="000000" w:fill="e2efda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0"/>
      <w:szCs w:val="40"/>
    </w:rPr>
  </w:style>
  <w:style w:type="paragraph" w:styleId="1072">
    <w:name w:val="xl105"/>
    <w:basedOn w:val="984"/>
    <w:next w:val="1072"/>
    <w:link w:val="984"/>
    <w:pPr>
      <w:jc w:val="center"/>
      <w:spacing w:before="100" w:beforeAutospacing="1" w:after="100" w:afterAutospacing="1"/>
      <w:shd w:val="clear" w:color="000000" w:fill="e2efda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b/>
      <w:bCs/>
      <w:sz w:val="40"/>
      <w:szCs w:val="40"/>
    </w:rPr>
  </w:style>
  <w:style w:type="paragraph" w:styleId="1073">
    <w:name w:val="xl106"/>
    <w:basedOn w:val="984"/>
    <w:next w:val="1073"/>
    <w:link w:val="984"/>
    <w:pPr>
      <w:jc w:val="center"/>
      <w:spacing w:before="100" w:beforeAutospacing="1" w:after="100" w:afterAutospacing="1"/>
      <w:shd w:val="clear" w:color="000000" w:fill="ddebf7"/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74">
    <w:name w:val="xl107"/>
    <w:basedOn w:val="984"/>
    <w:next w:val="1074"/>
    <w:link w:val="984"/>
    <w:pPr>
      <w:jc w:val="center"/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75">
    <w:name w:val="xl108"/>
    <w:basedOn w:val="984"/>
    <w:next w:val="1075"/>
    <w:link w:val="984"/>
    <w:pPr>
      <w:jc w:val="center"/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8" w:space="0"/>
        <w:right w:val="single" w:color="000000" w:sz="4" w:space="0"/>
      </w:pBdr>
    </w:pPr>
    <w:rPr>
      <w:sz w:val="40"/>
      <w:szCs w:val="40"/>
    </w:rPr>
  </w:style>
  <w:style w:type="paragraph" w:styleId="1076">
    <w:name w:val="xl109"/>
    <w:basedOn w:val="984"/>
    <w:next w:val="1076"/>
    <w:link w:val="984"/>
    <w:pPr>
      <w:spacing w:before="100" w:beforeAutospacing="1" w:after="100" w:afterAutospacing="1"/>
      <w:shd w:val="clear" w:color="000000" w:fill="ddebf7"/>
      <w:pBdr>
        <w:top w:val="single" w:color="000000" w:sz="8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77">
    <w:name w:val="xl110"/>
    <w:basedOn w:val="984"/>
    <w:next w:val="1077"/>
    <w:link w:val="984"/>
    <w:pPr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78">
    <w:name w:val="xl111"/>
    <w:basedOn w:val="984"/>
    <w:next w:val="1078"/>
    <w:link w:val="984"/>
    <w:pPr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79">
    <w:name w:val="xl112"/>
    <w:basedOn w:val="984"/>
    <w:next w:val="1079"/>
    <w:link w:val="984"/>
    <w:pPr>
      <w:jc w:val="center"/>
      <w:spacing w:before="100" w:beforeAutospacing="1" w:after="100" w:afterAutospacing="1"/>
      <w:shd w:val="clear" w:color="000000" w:fill="e2efda"/>
      <w:pBdr>
        <w:left w:val="single" w:color="000000" w:sz="8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80">
    <w:name w:val="xl113"/>
    <w:basedOn w:val="984"/>
    <w:next w:val="1080"/>
    <w:link w:val="984"/>
    <w:pPr>
      <w:jc w:val="center"/>
      <w:spacing w:before="100" w:beforeAutospacing="1" w:after="100" w:afterAutospacing="1"/>
      <w:shd w:val="clear" w:color="000000" w:fill="e2efda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81">
    <w:name w:val="xl114"/>
    <w:basedOn w:val="984"/>
    <w:next w:val="1081"/>
    <w:link w:val="984"/>
    <w:pPr>
      <w:jc w:val="center"/>
      <w:spacing w:before="100" w:beforeAutospacing="1" w:after="100" w:afterAutospacing="1"/>
      <w:shd w:val="clear" w:color="000000" w:fill="e2efda"/>
      <w:pBdr>
        <w:top w:val="single" w:color="000000" w:sz="4" w:space="0"/>
        <w:left w:val="single" w:color="000000" w:sz="8" w:space="0"/>
        <w:right w:val="single" w:color="000000" w:sz="4" w:space="0"/>
      </w:pBdr>
    </w:pPr>
    <w:rPr>
      <w:sz w:val="40"/>
      <w:szCs w:val="40"/>
    </w:rPr>
  </w:style>
  <w:style w:type="paragraph" w:styleId="1082">
    <w:name w:val="xl115"/>
    <w:basedOn w:val="984"/>
    <w:next w:val="1082"/>
    <w:link w:val="984"/>
    <w:pPr>
      <w:spacing w:before="100" w:beforeAutospacing="1" w:after="100" w:afterAutospacing="1"/>
      <w:shd w:val="clear" w:color="000000" w:fill="e2efda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83">
    <w:name w:val="xl116"/>
    <w:basedOn w:val="984"/>
    <w:next w:val="1083"/>
    <w:link w:val="984"/>
    <w:pPr>
      <w:spacing w:before="100" w:beforeAutospacing="1" w:after="100" w:afterAutospacing="1"/>
      <w:shd w:val="clear" w:color="000000" w:fill="e2efda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84">
    <w:name w:val="xl117"/>
    <w:basedOn w:val="984"/>
    <w:next w:val="1084"/>
    <w:link w:val="984"/>
    <w:pPr>
      <w:spacing w:before="100" w:beforeAutospacing="1" w:after="100" w:afterAutospacing="1"/>
      <w:shd w:val="clear" w:color="000000" w:fill="e2efda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sz w:val="40"/>
      <w:szCs w:val="40"/>
    </w:rPr>
  </w:style>
  <w:style w:type="paragraph" w:styleId="1085">
    <w:name w:val="xl118"/>
    <w:basedOn w:val="984"/>
    <w:next w:val="1085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86">
    <w:name w:val="xl119"/>
    <w:basedOn w:val="984"/>
    <w:next w:val="1086"/>
    <w:link w:val="984"/>
    <w:pPr>
      <w:jc w:val="center"/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87">
    <w:name w:val="xl120"/>
    <w:basedOn w:val="984"/>
    <w:next w:val="1087"/>
    <w:link w:val="984"/>
    <w:pPr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sz w:val="48"/>
      <w:szCs w:val="48"/>
    </w:rPr>
  </w:style>
  <w:style w:type="paragraph" w:styleId="1088">
    <w:name w:val="xl121"/>
    <w:basedOn w:val="984"/>
    <w:next w:val="1088"/>
    <w:link w:val="984"/>
    <w:pPr>
      <w:jc w:val="center"/>
      <w:spacing w:before="100" w:beforeAutospacing="1" w:after="100" w:afterAutospacing="1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b/>
      <w:bCs/>
      <w:sz w:val="40"/>
      <w:szCs w:val="40"/>
    </w:rPr>
  </w:style>
  <w:style w:type="paragraph" w:styleId="1089">
    <w:name w:val="xl122"/>
    <w:basedOn w:val="984"/>
    <w:next w:val="1089"/>
    <w:link w:val="984"/>
    <w:pPr>
      <w:jc w:val="center"/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b/>
      <w:bCs/>
      <w:sz w:val="40"/>
      <w:szCs w:val="40"/>
    </w:rPr>
  </w:style>
  <w:style w:type="paragraph" w:styleId="1090">
    <w:name w:val="xl123"/>
    <w:basedOn w:val="984"/>
    <w:next w:val="1090"/>
    <w:link w:val="984"/>
    <w:pPr>
      <w:jc w:val="center"/>
      <w:spacing w:before="100" w:beforeAutospacing="1" w:after="100" w:afterAutospacing="1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b/>
      <w:bCs/>
      <w:sz w:val="40"/>
      <w:szCs w:val="40"/>
    </w:rPr>
  </w:style>
  <w:style w:type="paragraph" w:styleId="1091">
    <w:name w:val="xl124"/>
    <w:basedOn w:val="984"/>
    <w:next w:val="1091"/>
    <w:link w:val="984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</w:pBdr>
    </w:pPr>
    <w:rPr>
      <w:sz w:val="40"/>
      <w:szCs w:val="40"/>
    </w:rPr>
  </w:style>
  <w:style w:type="paragraph" w:styleId="1092">
    <w:name w:val="xl125"/>
    <w:basedOn w:val="984"/>
    <w:next w:val="1092"/>
    <w:link w:val="984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40"/>
      <w:szCs w:val="40"/>
    </w:rPr>
  </w:style>
  <w:style w:type="paragraph" w:styleId="1093">
    <w:name w:val="xl126"/>
    <w:basedOn w:val="984"/>
    <w:next w:val="1093"/>
    <w:link w:val="984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sz w:val="40"/>
      <w:szCs w:val="40"/>
    </w:rPr>
  </w:style>
  <w:style w:type="paragraph" w:styleId="1094">
    <w:name w:val="xl127"/>
    <w:basedOn w:val="984"/>
    <w:next w:val="1094"/>
    <w:link w:val="984"/>
    <w:pPr>
      <w:jc w:val="center"/>
      <w:spacing w:before="100" w:beforeAutospacing="1" w:after="100" w:afterAutospacing="1"/>
      <w:shd w:val="clear" w:color="000000" w:fill="ffd966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paragraph" w:styleId="1095">
    <w:name w:val="xl128"/>
    <w:basedOn w:val="984"/>
    <w:next w:val="1095"/>
    <w:link w:val="984"/>
    <w:pPr>
      <w:jc w:val="center"/>
      <w:spacing w:before="100" w:beforeAutospacing="1" w:after="100" w:afterAutospacing="1"/>
      <w:pBdr>
        <w:left w:val="single" w:color="000000" w:sz="8" w:space="0"/>
        <w:bottom w:val="single" w:color="000000" w:sz="8" w:space="0"/>
        <w:right w:val="single" w:color="000000" w:sz="4" w:space="0"/>
      </w:pBdr>
    </w:pPr>
    <w:rPr>
      <w:b/>
      <w:bCs/>
      <w:sz w:val="48"/>
      <w:szCs w:val="48"/>
    </w:rPr>
  </w:style>
  <w:style w:type="character" w:styleId="1096" w:default="1">
    <w:name w:val="Default Paragraph Font"/>
    <w:uiPriority w:val="1"/>
    <w:semiHidden/>
    <w:unhideWhenUsed/>
  </w:style>
  <w:style w:type="numbering" w:styleId="1097" w:default="1">
    <w:name w:val="No List"/>
    <w:uiPriority w:val="99"/>
    <w:semiHidden/>
    <w:unhideWhenUsed/>
  </w:style>
  <w:style w:type="table" w:styleId="109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Home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№ОК-11/5Б-2</dc:title>
  <dc:creator>Korotkina.OF</dc:creator>
  <cp:revision>1401</cp:revision>
  <dcterms:created xsi:type="dcterms:W3CDTF">2020-07-08T05:59:00Z</dcterms:created>
  <dcterms:modified xsi:type="dcterms:W3CDTF">2025-04-16T06:31:09Z</dcterms:modified>
  <cp:version>1048576</cp:version>
</cp:coreProperties>
</file>